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塔里木盆地罗布泊钻孔同位素/青藏高原野外地质考察记录及照片数据集</w:t>
      </w:r>
    </w:p>
    <w:p>
      <w:r>
        <w:rPr>
          <w:sz w:val="22"/>
        </w:rPr>
        <w:t>英文标题：Stable Isotope Dataset of the Sediment Core Retrieved from Lop Nor in the Tarim Basin/Dataset of field investigation and field photos  of the Tibetan Plateau</w:t>
      </w:r>
    </w:p>
    <w:p>
      <w:r>
        <w:rPr>
          <w:sz w:val="32"/>
        </w:rPr>
        <w:t>1、摘要</w:t>
      </w:r>
    </w:p>
    <w:p>
      <w:pPr>
        <w:ind w:firstLine="432"/>
      </w:pPr>
      <w:r>
        <w:rPr>
          <w:sz w:val="22"/>
        </w:rPr>
        <w:t>数据包含塔里木盆地罗布泊钻孔180米沉积岩心的碳酸盐碳同位素和氧同位素。沉积物中的碳酸盐碳氧同位素记录了地质历史时期的水文和植被等信息，是目前古环境示踪研究应用的主要指标之一。罗布泊钻孔沉积物样品经磨匀过筛后，由样品处理单元（碳酸盐装置）和MAT252同位素质谱联机的全自动在线系统完成碳氧同位素分析。样品的分析精度为：碳同位素优于±0.06‰，氧同位素优于±0.08‰。通过罗布泊钻孔的高分辨率碳氧同位素数据，可以重建塔克拉玛干沙漠更新世以来干旱环境的演化历史，进而探讨区域的气候变化趋势、变率、和影响因素。青藏高原野外地质考察照片数据集，主要为野外考察过程中拍摄的野外工作照以及地质剖面照片。</w:t>
      </w:r>
    </w:p>
    <w:p>
      <w:r>
        <w:rPr>
          <w:sz w:val="32"/>
        </w:rPr>
        <w:t>2、关键词</w:t>
      </w:r>
    </w:p>
    <w:p>
      <w:pPr>
        <w:ind w:left="432"/>
      </w:pPr>
      <w:r>
        <w:rPr>
          <w:sz w:val="22"/>
        </w:rPr>
        <w:t>主题关键词：</w:t>
      </w:r>
      <w:r>
        <w:rPr>
          <w:sz w:val="22"/>
        </w:rPr>
        <w:t>地球化学</w:t>
      </w:r>
      <w:r>
        <w:t>,</w:t>
      </w:r>
      <w:r>
        <w:rPr>
          <w:sz w:val="22"/>
        </w:rPr>
        <w:t>环境地球化学</w:t>
        <w:br/>
      </w:r>
      <w:r>
        <w:rPr>
          <w:sz w:val="22"/>
        </w:rPr>
        <w:t>学科关键词：</w:t>
      </w:r>
      <w:r>
        <w:rPr>
          <w:sz w:val="22"/>
        </w:rPr>
        <w:t>固体地球</w:t>
        <w:br/>
      </w:r>
      <w:r>
        <w:rPr>
          <w:sz w:val="22"/>
        </w:rPr>
        <w:t>地点关键词：</w:t>
      </w:r>
      <w:r>
        <w:rPr>
          <w:sz w:val="22"/>
        </w:rPr>
        <w:t>塔里木盆地</w:t>
      </w:r>
      <w:r>
        <w:t xml:space="preserve">, </w:t>
      </w:r>
      <w:r>
        <w:rPr>
          <w:sz w:val="22"/>
        </w:rPr>
        <w:t>罗布泊</w:t>
      </w:r>
      <w:r>
        <w:t xml:space="preserve">, </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3.文件大小：64.2MB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西：87.0</w:t>
            </w:r>
          </w:p>
        </w:tc>
        <w:tc>
          <w:tcPr>
            <w:tcW w:type="dxa" w:w="2880"/>
          </w:tcPr>
          <w:p>
            <w:r>
              <w:t>-</w:t>
            </w:r>
          </w:p>
        </w:tc>
        <w:tc>
          <w:tcPr>
            <w:tcW w:type="dxa" w:w="2880"/>
          </w:tcPr>
          <w:p>
            <w:r>
              <w:t>东：88.0</w:t>
            </w:r>
          </w:p>
        </w:tc>
      </w:tr>
      <w:tr>
        <w:tc>
          <w:tcPr>
            <w:tcW w:type="dxa" w:w="2880"/>
          </w:tcPr>
          <w:p>
            <w:r>
              <w:t>-</w:t>
            </w:r>
          </w:p>
        </w:tc>
        <w:tc>
          <w:tcPr>
            <w:tcW w:type="dxa" w:w="2880"/>
          </w:tcPr>
          <w:p>
            <w:r>
              <w:t>南：39.0</w:t>
            </w:r>
          </w:p>
        </w:tc>
        <w:tc>
          <w:tcPr>
            <w:tcW w:type="dxa" w:w="2880"/>
          </w:tcPr>
          <w:p>
            <w:r>
              <w:t>-</w:t>
            </w:r>
          </w:p>
        </w:tc>
      </w:tr>
    </w:tbl>
    <w:p>
      <w:r>
        <w:rPr>
          <w:sz w:val="32"/>
        </w:rPr>
        <w:t>5、时间范围</w:t>
      </w:r>
      <w:r>
        <w:rPr>
          <w:sz w:val="22"/>
        </w:rPr>
        <w:t>2019-07-06 00:00:00+00:00</w:t>
      </w:r>
      <w:r>
        <w:rPr>
          <w:sz w:val="22"/>
        </w:rPr>
        <w:t>--</w:t>
      </w:r>
      <w:r>
        <w:rPr>
          <w:sz w:val="22"/>
        </w:rPr>
        <w:t>2019-07-07 00:00:00+00:00</w:t>
      </w:r>
    </w:p>
    <w:p>
      <w:r>
        <w:rPr>
          <w:sz w:val="32"/>
        </w:rPr>
        <w:t>6、引用方式</w:t>
      </w:r>
    </w:p>
    <w:p>
      <w:pPr>
        <w:ind w:left="432"/>
      </w:pPr>
      <w:r>
        <w:rPr>
          <w:sz w:val="22"/>
        </w:rPr>
        <w:t xml:space="preserve">数据的引用: </w:t>
      </w:r>
    </w:p>
    <w:p>
      <w:pPr>
        <w:ind w:left="432" w:firstLine="432"/>
      </w:pPr>
      <w:r>
        <w:t xml:space="preserve">刘卫国. 塔里木盆地罗布泊钻孔同位素/青藏高原野外地质考察记录及照片数据集. 国家青藏高原科学数据中心, DOI:10.11888/Geo.tpdc.270485, CSTR:18406.11.Geo.tpdc.270485, </w:t>
      </w:r>
      <w:r>
        <w:t>2019</w:t>
      </w:r>
      <w:r>
        <w:t>.[</w:t>
      </w:r>
      <w:r>
        <w:t xml:space="preserve">LIU Weiguo. Stable Isotope Dataset of the Sediment Core Retrieved from Lop Nor in the Tarim Basin/Dataset of field investigation and field photos  of the Tibetan Plateau. National Tibetan Plateau Data Center, DOI:10.11888/Geo.tpdc.270485, CSTR:18406.11.Geo.tpdc.270485, </w:t>
      </w:r>
      <w:r>
        <w:t>2019</w:t>
      </w:r>
      <w:r>
        <w:rPr>
          <w:sz w:val="22"/>
        </w:rPr>
        <w:t>]</w:t>
      </w:r>
    </w:p>
    <w:p>
      <w:pPr>
        <w:ind w:left="432"/>
      </w:pPr>
      <w:r>
        <w:rPr>
          <w:sz w:val="22"/>
        </w:rPr>
        <w:t xml:space="preserve">文章的引用: </w:t>
      </w:r>
    </w:p>
    <w:p>
      <w:pPr>
        <w:ind w:left="864"/>
      </w:pPr>
      <w:r>
        <w:t>Liu, W.G., Liu, Z.H., AN, Z.S., Sun, J.M., Chang, H., Dong, J.B., Wang, H.Y. (2014). Late Miocene Episodic Lakes in the Arid Tarim Basin, Western China. Proceedings of the National Academy of Sciences, 111(46), 16292-16296.</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刘卫国</w:t>
        <w:br/>
      </w:r>
      <w:r>
        <w:rPr>
          <w:sz w:val="22"/>
        </w:rPr>
        <w:t xml:space="preserve">单位: </w:t>
      </w:r>
      <w:r>
        <w:rPr>
          <w:sz w:val="22"/>
        </w:rPr>
        <w:t>中国科学院地球环境研究所</w:t>
        <w:br/>
      </w:r>
      <w:r>
        <w:rPr>
          <w:sz w:val="22"/>
        </w:rPr>
        <w:t xml:space="preserve">电子邮件: </w:t>
      </w:r>
      <w:r>
        <w:rPr>
          <w:sz w:val="22"/>
        </w:rPr>
        <w:t>liuwg@loess.llqg.ac.cn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