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Paleomagnetic and paleoclimatic data from the northeastern Tibetan Plateau across the Eocene-Oligocene transition</w:t>
      </w:r>
    </w:p>
    <w:p>
      <w:r>
        <w:rPr>
          <w:sz w:val="22"/>
        </w:rPr>
        <w:t>英文标题：Paleomagnetic and paleoclimatic data from the northeastern Tibetan Plateau across the Eocene-Oligocene transition</w:t>
      </w:r>
    </w:p>
    <w:p>
      <w:r>
        <w:rPr>
          <w:sz w:val="32"/>
        </w:rPr>
        <w:t>1、摘要</w:t>
      </w:r>
    </w:p>
    <w:p>
      <w:pPr>
        <w:ind w:firstLine="432"/>
      </w:pPr>
      <w:r>
        <w:rPr>
          <w:sz w:val="22"/>
        </w:rPr>
        <w:t>The Eocene–Oligocene transition (EOT) at ~34 Ma marks the main transition from the early Cenozoic greenhouse to the modern icehouse world. However, detailed orbital-scale terrestrial environmental responses to this notable global climate transition remain poorly known. This dataset provides paleomagnetic data and paleoclimatic proxy data from the Eocene–Oligocene red beds in the Lanzhou Basin, NE Tibetan Plateau. Paleomagnetic data (including declination, inclination, VGP latitude and MAD) in this dataset can be used to build the chronology of the section. Besides, low field magnetic susceptibility (χlf), frequency-dependent magnetic susceptibility (χfd), saturation isothermal remanent magnetization (SIRM), hard isothermal remanent magnetization (HIRM), mean grain size, Chemical index of alteration (CIA) and K2O/Al2O3 ratio are present, which were used to reconstruct the hydroclimate history of the Lanzhou Basin. These records suggest a sharp hydroclimate transition at ~33.7 Ma from eccentricity dominated cycles to oscillations paced by a combination of eccentricity, obliquity, and precession, and confirm that major Asian aridification and cooling occurred at EOT, which we relate to both atmospheric CO2 decline and continental-scale Antarctic glaciation.</w:t>
        <w:br/>
        <w:t>To obtain paleomangetic data, stepwise thermal demagnetization of the natural remanent magnetization (NRM) was conducted using a TD-48 thermal demagnetizer, and measured with a 2-G Enterprises Model 755-R cryogenic magnetometer housed in a magnetically shielded space. Low-frequency magnetic susceptibility (χlf) and high-frequency magnetic susceptibility (χhf) were measured with a Bartington Instruments MS2 magnetic susceptibility meter. Frequency-dependent magnetic susceptibility (χfd = χlf − χhf) was calculated. Saturation isothermal remanent magnetization (SIRM) and hard isothermal remanent magnetization (HIRM) were measured with an AGICO JR-6A dual-speed spinner magnetometer after imparted with an impulse magnetizer (model IM-10-30). Above magnetic measurements were conducted away from magnetic materials to ensure the data quality.</w:t>
        <w:br/>
        <w:t>Elemental analyses were performed with an Axios advanced wavelength dispersive X-ray fluorescence instrument (WD-XRF; PANalytical, Ea Almelo, The Netherlands). Relative standard deviations from repeated analyses of the National Standard GSS-8 and GSD-12 were below 2% for all major elements. Grain sizes analyses were conducted after removal of organic matter by 10% H2O2 and carbonate by 10% HCl, and measured using a Malvern 2000 laser instrument.</w:t>
      </w:r>
    </w:p>
    <w:p>
      <w:r>
        <w:rPr>
          <w:sz w:val="32"/>
        </w:rPr>
        <w:t>2、关键词</w:t>
      </w:r>
    </w:p>
    <w:p>
      <w:pPr>
        <w:ind w:left="432"/>
      </w:pPr>
      <w:r>
        <w:rPr>
          <w:sz w:val="22"/>
        </w:rPr>
        <w:t>主题关键词：</w:t>
      </w:r>
      <w:r>
        <w:rPr>
          <w:sz w:val="22"/>
        </w:rPr>
        <w:t>古地磁数据</w:t>
      </w:r>
      <w:r>
        <w:t>,</w:t>
      </w:r>
      <w:r>
        <w:rPr>
          <w:sz w:val="22"/>
        </w:rPr>
        <w:t>磁化率</w:t>
      </w:r>
      <w:r>
        <w:t>,</w:t>
      </w:r>
      <w:r>
        <w:rPr>
          <w:sz w:val="22"/>
        </w:rPr>
        <w:t>沉积物</w:t>
      </w:r>
      <w:r>
        <w:t>,</w:t>
      </w:r>
      <w:r>
        <w:rPr>
          <w:sz w:val="22"/>
        </w:rPr>
        <w:t>古气候重建</w:t>
        <w:br/>
      </w:r>
      <w:r>
        <w:rPr>
          <w:sz w:val="22"/>
        </w:rPr>
        <w:t>学科关键词：</w:t>
      </w:r>
      <w:r>
        <w:rPr>
          <w:sz w:val="22"/>
        </w:rPr>
        <w:t>古环境</w:t>
        <w:br/>
      </w:r>
      <w:r>
        <w:rPr>
          <w:sz w:val="22"/>
        </w:rPr>
        <w:t>地点关键词：</w:t>
      </w:r>
      <w:r>
        <w:rPr>
          <w:sz w:val="22"/>
        </w:rPr>
        <w:t>Lanzhou Basin</w:t>
        <w:br/>
      </w:r>
      <w:r>
        <w:rPr>
          <w:sz w:val="22"/>
        </w:rPr>
        <w:t>时间关键词：</w:t>
      </w:r>
      <w:r>
        <w:rPr>
          <w:sz w:val="22"/>
        </w:rPr>
        <w:t>Eocene-Oligocene</w:t>
      </w:r>
    </w:p>
    <w:p>
      <w:r>
        <w:rPr>
          <w:sz w:val="32"/>
        </w:rPr>
        <w:t>3、数据细节</w:t>
      </w:r>
    </w:p>
    <w:p>
      <w:pPr>
        <w:ind w:left="432"/>
      </w:pPr>
      <w:r>
        <w:rPr>
          <w:sz w:val="22"/>
        </w:rPr>
        <w:t>1.比例尺：None</w:t>
      </w:r>
    </w:p>
    <w:p>
      <w:pPr>
        <w:ind w:left="432"/>
      </w:pPr>
      <w:r>
        <w:rPr>
          <w:sz w:val="22"/>
        </w:rPr>
        <w:t>2.投影：</w:t>
      </w:r>
    </w:p>
    <w:p>
      <w:pPr>
        <w:ind w:left="432"/>
      </w:pPr>
      <w:r>
        <w:rPr>
          <w:sz w:val="22"/>
        </w:rPr>
        <w:t>3.文件大小：0.16MB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西：103.0</w:t>
            </w:r>
          </w:p>
        </w:tc>
        <w:tc>
          <w:tcPr>
            <w:tcW w:type="dxa" w:w="2880"/>
          </w:tcPr>
          <w:p>
            <w:r>
              <w:t>-</w:t>
            </w:r>
          </w:p>
        </w:tc>
        <w:tc>
          <w:tcPr>
            <w:tcW w:type="dxa" w:w="2880"/>
          </w:tcPr>
          <w:p>
            <w:r>
              <w:t>东：104.0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张鹏, 敖红. Paleomagnetic and paleoclimatic data from the northeastern Tibetan Plateau across the Eocene-Oligocene transition. 国家青藏高原科学数据中心, DOI:10.11888/Paleoenv.tpdc.270909, CSTR:18406.11.Paleoenv.tpdc.270909, </w:t>
      </w:r>
      <w:r>
        <w:t>2020</w:t>
      </w:r>
      <w:r>
        <w:t>.[</w:t>
      </w:r>
      <w:r>
        <w:t xml:space="preserve">ZHANG  Peng, AO  Hong. . National Tibetan Plateau Data Center, DOI:10.11888/Paleoenv.tpdc.270909, CSTR:18406.11.Paleoenv.tpdc.270909,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the Second Tibetan Plateau Scientific Expedition and Research (STEP) program (2019QZKK0707, 2019QZKK0101)</w:t>
        <w:br/>
      </w:r>
      <w:r>
        <w:rPr>
          <w:sz w:val="22"/>
        </w:rPr>
        <w:t>the CAS Key Research Program of Frontier Sciences (QYZDB-SSW-DQC021)</w:t>
        <w:br/>
      </w:r>
      <w:r>
        <w:rPr>
          <w:sz w:val="22"/>
        </w:rPr>
        <w:t>Chinese Academy of Sciences (CAS) Strategic Priority Research Program (XDB 40000000)</w:t>
        <w:br/>
      </w:r>
    </w:p>
    <w:p>
      <w:r>
        <w:rPr>
          <w:sz w:val="32"/>
        </w:rPr>
        <w:t>8、数据资源提供者</w:t>
      </w:r>
    </w:p>
    <w:p>
      <w:pPr>
        <w:ind w:left="432"/>
      </w:pPr>
      <w:r>
        <w:rPr>
          <w:sz w:val="22"/>
        </w:rPr>
        <w:t xml:space="preserve">姓名: </w:t>
      </w:r>
      <w:r>
        <w:rPr>
          <w:sz w:val="22"/>
        </w:rPr>
        <w:t>张鹏</w:t>
        <w:br/>
      </w:r>
      <w:r>
        <w:rPr>
          <w:sz w:val="22"/>
        </w:rPr>
        <w:t xml:space="preserve">单位: </w:t>
      </w:r>
      <w:r>
        <w:rPr>
          <w:sz w:val="22"/>
        </w:rPr>
        <w:t>Institute of Earth Environment, Chinese Academy of Sciences</w:t>
        <w:br/>
      </w:r>
      <w:r>
        <w:rPr>
          <w:sz w:val="22"/>
        </w:rPr>
        <w:t xml:space="preserve">电子邮件: </w:t>
      </w:r>
      <w:r>
        <w:rPr>
          <w:sz w:val="22"/>
        </w:rPr>
        <w:t>zhangpeng@ieecas.cn</w:t>
        <w:br/>
        <w:br/>
      </w:r>
      <w:r>
        <w:rPr>
          <w:sz w:val="22"/>
        </w:rPr>
        <w:t xml:space="preserve">姓名: </w:t>
      </w:r>
      <w:r>
        <w:rPr>
          <w:sz w:val="22"/>
        </w:rPr>
        <w:t>敖红</w:t>
        <w:br/>
      </w:r>
      <w:r>
        <w:rPr>
          <w:sz w:val="22"/>
        </w:rPr>
        <w:t xml:space="preserve">单位: </w:t>
      </w:r>
      <w:r>
        <w:rPr>
          <w:sz w:val="22"/>
        </w:rPr>
        <w:t>Institute of Earth Environment, Chinese Academy of Sciences</w:t>
        <w:br/>
      </w:r>
      <w:r>
        <w:rPr>
          <w:sz w:val="22"/>
        </w:rPr>
        <w:t xml:space="preserve">电子邮件: </w:t>
      </w:r>
      <w:r>
        <w:rPr>
          <w:sz w:val="22"/>
        </w:rPr>
        <w:t>aohong@ieecas.cn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