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云南曲靖地区渐新世地层钻孔300m岩心地层描述</w:t>
      </w:r>
    </w:p>
    <w:p>
      <w:r>
        <w:rPr>
          <w:sz w:val="22"/>
        </w:rPr>
        <w:t>英文标题：Lithology description of a 300m-thick Oligocene borehole strata in the Qujing area, Yunnan</w:t>
      </w:r>
    </w:p>
    <w:p>
      <w:r>
        <w:rPr>
          <w:sz w:val="32"/>
        </w:rPr>
        <w:t>1、摘要</w:t>
      </w:r>
    </w:p>
    <w:p>
      <w:pPr>
        <w:ind w:firstLine="432"/>
      </w:pPr>
      <w:r>
        <w:rPr>
          <w:sz w:val="22"/>
        </w:rPr>
        <w:t>云南地区沉积的巨厚的新生代地层是用来探讨该地区早新生代受印度-欧亚板块碰撞影响东南向逃逸和变形及印度季风形成演化历史的理想材料。然而由于长期缺乏精细年代控制，使得云南地区早新生地层划分混乱、地层年代并不清楚。位于云南省北部的曲靖盆地保存了巨厚且连续的新生代沉积物，自下而上可划分为小屯组、蔡家冲组以及茨营组。通过野外露头剖面和钻孔岩芯相结合的方式，本研究小组在曲靖盆地获得了总厚度达251米的小屯组和蔡家冲组拼接地层，通过顶部火山凝灰岩层U-Pb年代学（35.49 ±0.78 Ma）和蔡家冲哺乳动物化石群（晚始新世）的年龄控制，磁性地层学揭示出小屯组底部的年龄为46.2 Ma，蔡家冲组顶部应&lt; 36.2 Ma，两组地层的年代界线为41.2 Ma。但因蔡家冲盆地整体受后期构造活动影响较弱，地层变形程度小，盆地中部地势比较平坦，导致无法获取连续的蔡家冲组的顶部以及上覆茨营组的地层样品。通过在盆地中心开展的连续钻探任务，共取得320.1米岩芯，首次获得了贯穿整个茨营组与蔡家冲组的沉积序列。其中，茨营组（0-216.3 m）岩芯整体岩性为灰色泥岩、粉砂岩为主，并夹有数层煤层；而下部的蔡家冲组（216.3-305.5 m）则以灰白、灰绿色泥灰岩为主；小屯组（305.5-320.1 m）的岩性则以红色泥岩为主。</w:t>
      </w:r>
    </w:p>
    <w:p>
      <w:r>
        <w:rPr>
          <w:sz w:val="32"/>
        </w:rPr>
        <w:t>2、关键词</w:t>
      </w:r>
    </w:p>
    <w:p>
      <w:pPr>
        <w:ind w:left="432"/>
      </w:pPr>
      <w:r>
        <w:rPr>
          <w:sz w:val="22"/>
        </w:rPr>
        <w:t>主题关键词：</w:t>
      </w:r>
      <w:r>
        <w:rPr>
          <w:sz w:val="22"/>
        </w:rPr>
        <w:t>地磁</w:t>
        <w:br/>
      </w:r>
      <w:r>
        <w:rPr>
          <w:sz w:val="22"/>
        </w:rPr>
        <w:t>学科关键词：</w:t>
      </w:r>
      <w:r>
        <w:rPr>
          <w:sz w:val="22"/>
        </w:rPr>
        <w:t>固体地球</w:t>
        <w:br/>
      </w:r>
      <w:r>
        <w:rPr>
          <w:sz w:val="22"/>
        </w:rPr>
        <w:t>地点关键词：</w:t>
      </w:r>
      <w:r>
        <w:rPr>
          <w:sz w:val="22"/>
        </w:rPr>
        <w:t>曲靖盆地</w:t>
        <w:br/>
      </w:r>
      <w:r>
        <w:rPr>
          <w:sz w:val="22"/>
        </w:rPr>
        <w:t>时间关键词：</w:t>
      </w:r>
      <w:r>
        <w:rPr>
          <w:sz w:val="22"/>
        </w:rPr>
        <w:t>渐新世</w:t>
      </w:r>
    </w:p>
    <w:p>
      <w:r>
        <w:rPr>
          <w:sz w:val="32"/>
        </w:rPr>
        <w:t>3、数据细节</w:t>
      </w:r>
    </w:p>
    <w:p>
      <w:pPr>
        <w:ind w:left="432"/>
      </w:pPr>
      <w:r>
        <w:rPr>
          <w:sz w:val="22"/>
        </w:rPr>
        <w:t>1.比例尺：None</w:t>
      </w:r>
    </w:p>
    <w:p>
      <w:pPr>
        <w:ind w:left="432"/>
      </w:pPr>
      <w:r>
        <w:rPr>
          <w:sz w:val="22"/>
        </w:rPr>
        <w:t>2.投影：</w:t>
      </w:r>
    </w:p>
    <w:p>
      <w:pPr>
        <w:ind w:left="432"/>
      </w:pPr>
      <w:r>
        <w:rPr>
          <w:sz w:val="22"/>
        </w:rPr>
        <w:t>3.文件大小：0.02MB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北：25.4</w:t>
            </w:r>
          </w:p>
        </w:tc>
        <w:tc>
          <w:tcPr>
            <w:tcW w:type="dxa" w:w="2880"/>
          </w:tcPr>
          <w:p>
            <w:r>
              <w:t>-</w:t>
            </w:r>
          </w:p>
        </w:tc>
      </w:tr>
      <w:tr>
        <w:tc>
          <w:tcPr>
            <w:tcW w:type="dxa" w:w="2880"/>
          </w:tcPr>
          <w:p>
            <w:r>
              <w:t>西：103.9</w:t>
            </w:r>
          </w:p>
        </w:tc>
        <w:tc>
          <w:tcPr>
            <w:tcW w:type="dxa" w:w="2880"/>
          </w:tcPr>
          <w:p>
            <w:r>
              <w:t>-</w:t>
            </w:r>
          </w:p>
        </w:tc>
        <w:tc>
          <w:tcPr>
            <w:tcW w:type="dxa" w:w="2880"/>
          </w:tcPr>
          <w:p>
            <w:r>
              <w:t>东：104.0</w:t>
            </w:r>
          </w:p>
        </w:tc>
      </w:tr>
      <w:tr>
        <w:tc>
          <w:tcPr>
            <w:tcW w:type="dxa" w:w="2880"/>
          </w:tcPr>
          <w:p>
            <w:r>
              <w:t>-</w:t>
            </w:r>
          </w:p>
        </w:tc>
        <w:tc>
          <w:tcPr>
            <w:tcW w:type="dxa" w:w="2880"/>
          </w:tcPr>
          <w:p>
            <w:r>
              <w:t>南：25.3</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颜茂都. 云南曲靖地区渐新世地层钻孔300m岩心地层描述. 国家青藏高原科学数据中心, DOI:10.11888/Paleoenv.tpdc.270300, CSTR:18406.11.Paleoenv.tpdc.270300, </w:t>
      </w:r>
      <w:r>
        <w:t>2019</w:t>
      </w:r>
      <w:r>
        <w:t>.[</w:t>
      </w:r>
      <w:r>
        <w:t xml:space="preserve">YAN Maodu. Lithology description of a 300m-thick Oligocene borehole strata in the Qujing area, Yunnan. National Tibetan Plateau Data Center, DOI:10.11888/Paleoenv.tpdc.270300, CSTR:18406.11.Paleoenv.tpdc.270300,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颜茂都</w:t>
        <w:br/>
      </w:r>
      <w:r>
        <w:rPr>
          <w:sz w:val="22"/>
        </w:rPr>
        <w:t xml:space="preserve">单位: </w:t>
      </w:r>
      <w:r>
        <w:rPr>
          <w:sz w:val="22"/>
        </w:rPr>
        <w:t>中国科学院青藏高原研究所</w:t>
        <w:br/>
      </w:r>
      <w:r>
        <w:rPr>
          <w:sz w:val="22"/>
        </w:rPr>
        <w:t xml:space="preserve">电子邮件: </w:t>
      </w:r>
      <w:r>
        <w:rPr>
          <w:sz w:val="22"/>
        </w:rPr>
        <w:t>maoduyan@itpcas.ac.cn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