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黑河流域盈科-大满土壤观测及玉米采样点叶面积指数和地上部生物量（2012）</w:t>
      </w:r>
    </w:p>
    <w:p>
      <w:r>
        <w:rPr>
          <w:sz w:val="22"/>
        </w:rPr>
        <w:t>英文标题：Soil observation and leaf area index and aboveground biomass of maize sampling points in Yingke Daman area of Heihe River Basin (2012)</w:t>
      </w:r>
    </w:p>
    <w:p>
      <w:r>
        <w:rPr>
          <w:sz w:val="32"/>
        </w:rPr>
        <w:t>1、摘要</w:t>
      </w:r>
    </w:p>
    <w:p>
      <w:pPr>
        <w:ind w:firstLine="432"/>
      </w:pPr>
      <w:r>
        <w:rPr>
          <w:sz w:val="22"/>
        </w:rPr>
        <w:t>黑河流域盈科-大满试验数据受黑河计划重点基金项目“黑河流域农业节水的生态水文效应及多尺度用水效率评估”支持。包括：土壤容重、土壤含水量、土壤质地、玉米样点生物量、断面流量等</w:t>
        <w:br/>
        <w:t>数据描述：</w:t>
        <w:br/>
        <w:t>1、叶面积指数和地上生物量取样位置：盈科灌区；玉米的LAI及第上部分生物量每15天取样一次；取样时间：2012.5-2012.9；测量方法：LAI采用冠层分析仪（LP-80）测量，地上部分生物量采用取样烘干法测量；样点数量：16个。</w:t>
        <w:br/>
        <w:t>2、土壤质地：取样位置：盈科灌区及盈科灌区石桥五斗二农渠农田；土壤采样深度140 cm，取样层次分别为0-20 cm每10 cm取一样，20-80 cm 每20 cm取一样， 80-140 cm 每30 cm取一样；取样时间：2012年；测量方法：实验室激光粒度分析仪；样点数量：38个。</w:t>
        <w:br/>
        <w:t>3、土壤容重：取样位置：盈科灌区和大满灌区；土壤容重取样深度100 cm，取样层次分别为0-50 cm取一样，50-100 cm取一样；取样时间：2012年；测量方法：环刀法；样点数量：34个。</w:t>
        <w:br/>
        <w:t>4、土壤含水率：本数据为盈科灌区水文要素监测内容的一部分，具体取样位置：盈科灌区石桥五斗二农渠农田，种植作物为制种玉米；土壤含水率取样深度140 cm，取样层次分别为0-20 cm每10 cm取一样，20-80 cm 每20 cm取一样， 80-140 cm 每30 cm取一样；周期为每7天监测一次；取样时间：2012.5-2012.9；测量方法：取土烘干法及TDR测量；样点数量：17个。</w:t>
        <w:br/>
        <w:t>5、断面流量：取样位置：盈科灌区石桥五斗二农渠农田；测量农田各次灌水时不同渠系断面处水流流速、水位、水温，并记录时间及计算流量，监测每3小时一次，直至灌水结束；；取样时间：2012.5-2012.9；测量方法：多普勒超声流量流速仪（HOH-L-01,   China）；测量次数：盈科四次灌水数据。</w:t>
      </w:r>
    </w:p>
    <w:p>
      <w:r>
        <w:rPr>
          <w:sz w:val="32"/>
        </w:rPr>
        <w:t>2、关键词</w:t>
      </w:r>
    </w:p>
    <w:p>
      <w:pPr>
        <w:ind w:left="432"/>
      </w:pPr>
      <w:r>
        <w:rPr>
          <w:sz w:val="22"/>
        </w:rPr>
        <w:t>主题关键词：</w:t>
      </w:r>
      <w:r>
        <w:rPr>
          <w:sz w:val="22"/>
        </w:rPr>
        <w:t>土壤</w:t>
      </w:r>
      <w:r>
        <w:t>,</w:t>
      </w:r>
      <w:r>
        <w:rPr>
          <w:sz w:val="22"/>
        </w:rPr>
        <w:t>地表水</w:t>
      </w:r>
      <w:r>
        <w:t>,</w:t>
      </w:r>
      <w:r>
        <w:rPr>
          <w:sz w:val="22"/>
        </w:rPr>
        <w:t>土壤含水量</w:t>
      </w:r>
      <w:r>
        <w:t>,</w:t>
      </w:r>
      <w:r>
        <w:rPr>
          <w:sz w:val="22"/>
        </w:rPr>
        <w:t>叶面积指数</w:t>
      </w:r>
      <w:r>
        <w:t>,</w:t>
      </w:r>
      <w:r>
        <w:rPr>
          <w:sz w:val="22"/>
        </w:rPr>
        <w:t>植被</w:t>
      </w:r>
      <w:r>
        <w:t>,</w:t>
      </w:r>
      <w:r>
        <w:rPr>
          <w:sz w:val="22"/>
        </w:rPr>
        <w:t>生物量</w:t>
      </w:r>
      <w:r>
        <w:t>,</w:t>
      </w:r>
      <w:r>
        <w:rPr>
          <w:sz w:val="22"/>
        </w:rPr>
        <w:t>土壤容重</w:t>
      </w:r>
      <w:r>
        <w:t>,</w:t>
      </w:r>
      <w:r>
        <w:rPr>
          <w:sz w:val="22"/>
        </w:rPr>
        <w:t>流量</w:t>
      </w:r>
      <w:r>
        <w:t>,</w:t>
      </w:r>
      <w:r>
        <w:rPr>
          <w:sz w:val="22"/>
        </w:rPr>
        <w:t>土壤质地</w:t>
        <w:br/>
      </w:r>
      <w:r>
        <w:rPr>
          <w:sz w:val="22"/>
        </w:rPr>
        <w:t>学科关键词：</w:t>
      </w:r>
      <w:r>
        <w:rPr>
          <w:sz w:val="22"/>
        </w:rPr>
        <w:t>陆地表层</w:t>
        <w:br/>
      </w:r>
      <w:r>
        <w:rPr>
          <w:sz w:val="22"/>
        </w:rPr>
        <w:t>地点关键词：</w:t>
      </w:r>
      <w:r>
        <w:rPr>
          <w:sz w:val="22"/>
        </w:rPr>
        <w:t>黑河流域</w:t>
      </w:r>
      <w:r>
        <w:t xml:space="preserve">, </w:t>
      </w:r>
      <w:r>
        <w:rPr>
          <w:sz w:val="22"/>
        </w:rPr>
        <w:t>盈科灌区</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北：38.966977</w:t>
            </w:r>
          </w:p>
        </w:tc>
        <w:tc>
          <w:tcPr>
            <w:tcW w:type="dxa" w:w="2880"/>
          </w:tcPr>
          <w:p>
            <w:r>
              <w:t>-</w:t>
            </w:r>
          </w:p>
        </w:tc>
      </w:tr>
      <w:tr>
        <w:tc>
          <w:tcPr>
            <w:tcW w:type="dxa" w:w="2880"/>
          </w:tcPr>
          <w:p>
            <w:r>
              <w:t>西：100.570097</w:t>
            </w:r>
          </w:p>
        </w:tc>
        <w:tc>
          <w:tcPr>
            <w:tcW w:type="dxa" w:w="2880"/>
          </w:tcPr>
          <w:p>
            <w:r>
              <w:t>-</w:t>
            </w:r>
          </w:p>
        </w:tc>
        <w:tc>
          <w:tcPr>
            <w:tcW w:type="dxa" w:w="2880"/>
          </w:tcPr>
          <w:p>
            <w:r>
              <w:t>东：100.29727</w:t>
            </w:r>
          </w:p>
        </w:tc>
      </w:tr>
      <w:tr>
        <w:tc>
          <w:tcPr>
            <w:tcW w:type="dxa" w:w="2880"/>
          </w:tcPr>
          <w:p>
            <w:r>
              <w:t>-</w:t>
            </w:r>
          </w:p>
        </w:tc>
        <w:tc>
          <w:tcPr>
            <w:tcW w:type="dxa" w:w="2880"/>
          </w:tcPr>
          <w:p>
            <w:r>
              <w:t>南：38.837219</w:t>
            </w:r>
          </w:p>
        </w:tc>
        <w:tc>
          <w:tcPr>
            <w:tcW w:type="dxa" w:w="2880"/>
          </w:tcPr>
          <w:p>
            <w:r>
              <w:t>-</w:t>
            </w:r>
          </w:p>
        </w:tc>
      </w:tr>
    </w:tbl>
    <w:p>
      <w:r>
        <w:rPr>
          <w:sz w:val="32"/>
        </w:rPr>
        <w:t>5、时间范围</w:t>
      </w:r>
      <w:r>
        <w:rPr>
          <w:sz w:val="22"/>
        </w:rPr>
        <w:t>2012-05-18 22:00:00+00:00</w:t>
      </w:r>
      <w:r>
        <w:rPr>
          <w:sz w:val="22"/>
        </w:rPr>
        <w:t>--</w:t>
      </w:r>
      <w:r>
        <w:rPr>
          <w:sz w:val="22"/>
        </w:rPr>
        <w:t>2012-09-24 11:23:00+00:00</w:t>
      </w:r>
    </w:p>
    <w:p>
      <w:r>
        <w:rPr>
          <w:sz w:val="32"/>
        </w:rPr>
        <w:t>6、引用方式</w:t>
      </w:r>
    </w:p>
    <w:p>
      <w:pPr>
        <w:ind w:left="432"/>
      </w:pPr>
      <w:r>
        <w:rPr>
          <w:sz w:val="22"/>
        </w:rPr>
        <w:t xml:space="preserve">数据的引用: </w:t>
      </w:r>
    </w:p>
    <w:p>
      <w:pPr>
        <w:ind w:left="432" w:firstLine="432"/>
      </w:pPr>
      <w:r>
        <w:t xml:space="preserve">黄冠华, 姜瑶. 黑河流域盈科-大满土壤观测及玉米采样点叶面积指数和地上部生物量（2012）. 国家青藏高原科学数据中心, DOI:10.3972/heihe.037.2014.db, CSTR:18406.11.heihe.037.2014.db, </w:t>
      </w:r>
      <w:r>
        <w:t>2016</w:t>
      </w:r>
      <w:r>
        <w:t>.[</w:t>
      </w:r>
      <w:r>
        <w:t xml:space="preserve">JIANG  Yao, HUANG  Guanhua. Soil observation and leaf area index and aboveground biomass of maize sampling points in Yingke Daman area of Heihe River Basin (2012). National Tibetan Plateau Data Center, DOI:10.3972/heihe.037.2014.db, CSTR:18406.11.heihe.037.2014.db, </w:t>
      </w:r>
      <w:r>
        <w:t>2016</w:t>
      </w:r>
      <w:r>
        <w:rPr>
          <w:sz w:val="22"/>
        </w:rPr>
        <w:t>]</w:t>
      </w:r>
    </w:p>
    <w:p>
      <w:pPr>
        <w:ind w:left="432"/>
      </w:pPr>
      <w:r>
        <w:rPr>
          <w:sz w:val="22"/>
        </w:rPr>
        <w:t xml:space="preserve">文章的引用: </w:t>
      </w:r>
    </w:p>
    <w:p>
      <w:pPr>
        <w:ind w:left="864"/>
      </w:pPr>
      <w:r>
        <w:t>Jiang Y, Xu X, Huang GH. 2013. Distributed simulation of agro-hydrological processes and assessment of water productivity in irrigated areas of the middle Heihe River basin. 1st CIGR Inter-Regional Conference on Land and Water Challenges, Bari, Italy, 10-14 September, S1-12</w:t>
        <w:br/>
        <w:br/>
      </w:r>
    </w:p>
    <w:p>
      <w:r>
        <w:rPr>
          <w:sz w:val="32"/>
        </w:rPr>
        <w:t>7、资助项目信息</w:t>
      </w:r>
    </w:p>
    <w:p>
      <w:r>
        <w:rPr>
          <w:sz w:val="32"/>
        </w:rPr>
        <w:t>8、数据资源提供者</w:t>
      </w:r>
    </w:p>
    <w:p>
      <w:pPr>
        <w:ind w:left="432"/>
      </w:pPr>
      <w:r>
        <w:rPr>
          <w:sz w:val="22"/>
        </w:rPr>
        <w:t xml:space="preserve">姓名: </w:t>
      </w:r>
      <w:r>
        <w:rPr>
          <w:sz w:val="22"/>
        </w:rPr>
        <w:t>黄冠华</w:t>
        <w:br/>
      </w:r>
      <w:r>
        <w:rPr>
          <w:sz w:val="22"/>
        </w:rPr>
        <w:t xml:space="preserve">单位: </w:t>
      </w:r>
      <w:r>
        <w:rPr>
          <w:sz w:val="22"/>
        </w:rPr>
        <w:t>中国农业大学</w:t>
        <w:br/>
      </w:r>
      <w:r>
        <w:rPr>
          <w:sz w:val="22"/>
        </w:rPr>
        <w:t xml:space="preserve">电子邮件: </w:t>
      </w:r>
      <w:r>
        <w:rPr>
          <w:sz w:val="22"/>
        </w:rPr>
        <w:t>guanhua@cau.edu.cn</w:t>
        <w:br/>
        <w:br/>
      </w:r>
      <w:r>
        <w:rPr>
          <w:sz w:val="22"/>
        </w:rPr>
        <w:t xml:space="preserve">姓名: </w:t>
      </w:r>
      <w:r>
        <w:rPr>
          <w:sz w:val="22"/>
        </w:rPr>
        <w:t>姜瑶</w:t>
        <w:br/>
      </w:r>
      <w:r>
        <w:rPr>
          <w:sz w:val="22"/>
        </w:rPr>
        <w:t xml:space="preserve">单位: </w:t>
      </w:r>
      <w:r>
        <w:rPr>
          <w:sz w:val="22"/>
        </w:rPr>
        <w:t>中国农业大学</w:t>
        <w:br/>
      </w:r>
      <w:r>
        <w:rPr>
          <w:sz w:val="22"/>
        </w:rPr>
        <w:t xml:space="preserve">电子邮件: </w:t>
      </w:r>
      <w:r>
        <w:rPr>
          <w:sz w:val="22"/>
        </w:rPr>
        <w:t>jiangyao313@126.com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