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青藏高原草地合理载畜量数据集（2000-2019）</w:t>
      </w:r>
    </w:p>
    <w:p>
      <w:r>
        <w:rPr>
          <w:sz w:val="22"/>
        </w:rPr>
        <w:t>英文标题：Reasonable livestock carrying capacity estimation product of grassland in Qinghai-Tibet Plateau (2000-2019)</w:t>
      </w:r>
    </w:p>
    <w:p>
      <w:r>
        <w:rPr>
          <w:sz w:val="32"/>
        </w:rPr>
        <w:t>1、摘要</w:t>
      </w:r>
    </w:p>
    <w:p>
      <w:pPr>
        <w:ind w:firstLine="432"/>
      </w:pPr>
      <w:r>
        <w:rPr>
          <w:sz w:val="22"/>
        </w:rPr>
        <w:t>合理载畜量又称理论载畜量，指一定的草地面积，在某一利用时间段内，在适度放牧（或割草）利用并维持草地可持续生产的前提下，满足家畜正常生长、繁殖、生产的需要，所能承载的最多家畜数量。青藏高原合理载畜量数据利用基于MODIS反演的可食牧草产草量（鲜重，kg/hm2）数据，按照《草地载畜量及草畜平衡计算规范》（DB 51/T1480—2012）、《天然草地合理载畜量的计算》（NY/T 635—2015）评估得到草地的合理载畜量（羊单位，MU/km2）数据，时间序列为2000-2019年，空间分辨率为250米。本数据集可以分析青藏高原草地合理利用情况下理论承载量的时空变化特征，评估青藏高原草地承载特征，提取过渡放牧区域，对青藏高原生态保护、监测及预警具有重要应用价值。</w:t>
      </w:r>
    </w:p>
    <w:p>
      <w:r>
        <w:rPr>
          <w:sz w:val="32"/>
        </w:rPr>
        <w:t>2、关键词</w:t>
      </w:r>
    </w:p>
    <w:p>
      <w:pPr>
        <w:ind w:left="432"/>
      </w:pPr>
      <w:r>
        <w:rPr>
          <w:sz w:val="22"/>
        </w:rPr>
        <w:t>主题关键词：</w:t>
      </w:r>
      <w:r>
        <w:rPr>
          <w:sz w:val="22"/>
        </w:rPr>
        <w:t>草地</w:t>
      </w:r>
      <w:r>
        <w:t>,</w:t>
      </w:r>
      <w:r>
        <w:rPr>
          <w:sz w:val="22"/>
        </w:rPr>
        <w:t>蓄积量</w:t>
      </w:r>
      <w:r>
        <w:t>,</w:t>
      </w:r>
      <w:r>
        <w:rPr>
          <w:sz w:val="22"/>
        </w:rPr>
        <w:t>陆地表层遥感</w:t>
      </w:r>
      <w:r>
        <w:t>,</w:t>
      </w:r>
      <w:r>
        <w:rPr>
          <w:sz w:val="22"/>
        </w:rPr>
        <w:t>草地</w:t>
        <w:br/>
      </w:r>
      <w:r>
        <w:rPr>
          <w:sz w:val="22"/>
        </w:rPr>
        <w:t>学科关键词：</w:t>
      </w:r>
      <w:r>
        <w:rPr>
          <w:sz w:val="22"/>
        </w:rPr>
        <w:t>陆地表层</w:t>
        <w:br/>
      </w:r>
      <w:r>
        <w:rPr>
          <w:sz w:val="22"/>
        </w:rPr>
        <w:t>地点关键词：</w:t>
      </w:r>
      <w:r>
        <w:rPr>
          <w:sz w:val="22"/>
        </w:rPr>
        <w:t>青藏高原</w:t>
        <w:br/>
      </w:r>
      <w:r>
        <w:rPr>
          <w:sz w:val="22"/>
        </w:rPr>
        <w:t>时间关键词：</w:t>
      </w:r>
      <w:r>
        <w:rPr>
          <w:sz w:val="22"/>
        </w:rPr>
        <w:t>2000-2019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3.文件大小：9300.0MB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北：43.887225</w:t>
            </w:r>
          </w:p>
        </w:tc>
        <w:tc>
          <w:tcPr>
            <w:tcW w:type="dxa" w:w="2880"/>
          </w:tcPr>
          <w:p>
            <w:r>
              <w:t>-</w:t>
            </w:r>
          </w:p>
        </w:tc>
      </w:tr>
      <w:tr>
        <w:tc>
          <w:tcPr>
            <w:tcW w:type="dxa" w:w="2880"/>
          </w:tcPr>
          <w:p>
            <w:r>
              <w:t>西：73.132818</w:t>
            </w:r>
          </w:p>
        </w:tc>
        <w:tc>
          <w:tcPr>
            <w:tcW w:type="dxa" w:w="2880"/>
          </w:tcPr>
          <w:p>
            <w:r>
              <w:t>-</w:t>
            </w:r>
          </w:p>
        </w:tc>
        <w:tc>
          <w:tcPr>
            <w:tcW w:type="dxa" w:w="2880"/>
          </w:tcPr>
          <w:p>
            <w:r>
              <w:t>东：105.732465</w:t>
            </w:r>
          </w:p>
        </w:tc>
      </w:tr>
      <w:tr>
        <w:tc>
          <w:tcPr>
            <w:tcW w:type="dxa" w:w="2880"/>
          </w:tcPr>
          <w:p>
            <w:r>
              <w:t>-</w:t>
            </w:r>
          </w:p>
        </w:tc>
        <w:tc>
          <w:tcPr>
            <w:tcW w:type="dxa" w:w="2880"/>
          </w:tcPr>
          <w:p>
            <w:r>
              <w:t>南：21.709277</w:t>
            </w:r>
          </w:p>
        </w:tc>
        <w:tc>
          <w:tcPr>
            <w:tcW w:type="dxa" w:w="2880"/>
          </w:tcPr>
          <w:p>
            <w:r>
              <w:t>-</w:t>
            </w:r>
          </w:p>
        </w:tc>
      </w:tr>
    </w:tbl>
    <w:p>
      <w:r>
        <w:rPr>
          <w:sz w:val="32"/>
        </w:rPr>
        <w:t>5、时间范围</w:t>
      </w:r>
      <w:r>
        <w:rPr>
          <w:sz w:val="22"/>
        </w:rPr>
        <w:t>1999-12-31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刘斌涛. 青藏高原草地合理载畜量数据集（2000-2019）. 国家青藏高原科学数据中心, DOI:10.11888/Ecolo.tpdc.271515, CSTR:18406.11.Ecolo.tpdc.271515, </w:t>
      </w:r>
      <w:r>
        <w:t>2021</w:t>
      </w:r>
      <w:r>
        <w:t>.[</w:t>
      </w:r>
      <w:r>
        <w:t xml:space="preserve">LIU   Bintao. Reasonable livestock carrying capacity estimation product of grassland in Qinghai-Tibet Plateau (2000-2019). National Tibetan Plateau Data Center, DOI:10.11888/Ecolo.tpdc.271515, CSTR:18406.11.Ecolo.tpdc.271515,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刘斌涛</w:t>
        <w:br/>
      </w:r>
      <w:r>
        <w:rPr>
          <w:sz w:val="22"/>
        </w:rPr>
        <w:t xml:space="preserve">单位: </w:t>
      </w:r>
      <w:r>
        <w:rPr>
          <w:sz w:val="22"/>
        </w:rPr>
        <w:t>中国科学院成都山地灾害与环境研究所</w:t>
        <w:br/>
      </w:r>
      <w:r>
        <w:rPr>
          <w:sz w:val="22"/>
        </w:rPr>
        <w:t xml:space="preserve">电子邮件: </w:t>
      </w:r>
      <w:r>
        <w:rPr>
          <w:sz w:val="22"/>
        </w:rPr>
        <w:t>lbt609@163.com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