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An earlier start of the thermal growing season enhances tree growth in cold humid areas but not in dry areas</w:t>
      </w:r>
    </w:p>
    <w:p>
      <w:r>
        <w:rPr>
          <w:sz w:val="22"/>
        </w:rPr>
        <w:t>英文标题：An earlier start of the thermal growing season enhances tree growth in cold humid areas but not in dry areas</w:t>
      </w:r>
    </w:p>
    <w:p>
      <w:r>
        <w:rPr>
          <w:sz w:val="32"/>
        </w:rPr>
        <w:t>1、摘要</w:t>
      </w:r>
    </w:p>
    <w:p>
      <w:pPr>
        <w:ind w:firstLine="432"/>
      </w:pPr>
      <w:r>
        <w:rPr>
          <w:sz w:val="22"/>
        </w:rPr>
        <w:t>Climatic warming alters the onset, duration and cessation of the vegetative season. While prior studies have shown a tight link between thermal conditions and leaf phenology, less is known about the impacts of phenological changes on tree  growth. Here, we assessed the relationships between the start of the thermal growing season (TSOS) and tree growth across the extratropical Northern Hemisphere using 3451 tree-ring chronologies and daily climatic data for 1948-2014. An earlier TSOS promoted growth in regions with high ratios of precipitation to temperature but limited growth in cold dry regions. Path analyses indicated that an earlier TSOS enhanced growth primarily by alleviating thermal limitations on wood formation in boreal forests and by lengthening the period of growth in temperate and Mediterranean forests. Semi-arid and dry subalpine forests, however, did not benefit from an earlier onset of growth and a longer growing season, presumably due to associated water loss and/or more frequent early spring frosts. These broadly relevant patterns of how climatic impacts on wood phenology affect tree growth at regional to hemispheric scales, enhance our understanding of how future phenological changes may affect the carbon sequestration capacity of extra-tropical forest ecosystems.</w:t>
      </w:r>
    </w:p>
    <w:p>
      <w:r>
        <w:rPr>
          <w:sz w:val="32"/>
        </w:rPr>
        <w:t>2、关键词</w:t>
      </w:r>
    </w:p>
    <w:p>
      <w:pPr>
        <w:ind w:left="432"/>
      </w:pPr>
      <w:r>
        <w:rPr>
          <w:sz w:val="22"/>
        </w:rPr>
        <w:t>主题关键词：</w:t>
      </w:r>
      <w:r>
        <w:rPr>
          <w:sz w:val="22"/>
        </w:rPr>
        <w:t>地表过程</w:t>
      </w:r>
      <w:r>
        <w:t>,</w:t>
      </w:r>
      <w:r>
        <w:rPr>
          <w:sz w:val="22"/>
        </w:rPr>
        <w:t>森林</w:t>
      </w:r>
      <w:r>
        <w:t>,</w:t>
      </w:r>
      <w:r>
        <w:rPr>
          <w:sz w:val="22"/>
        </w:rPr>
        <w:t>物候</w:t>
      </w:r>
      <w:r>
        <w:t>,</w:t>
      </w:r>
      <w:r>
        <w:rPr>
          <w:sz w:val="22"/>
        </w:rPr>
        <w:t>树木年轮</w:t>
        <w:br/>
      </w:r>
      <w:r>
        <w:rPr>
          <w:sz w:val="22"/>
        </w:rPr>
        <w:t>学科关键词：</w:t>
      </w:r>
      <w:r>
        <w:rPr>
          <w:sz w:val="22"/>
        </w:rPr>
        <w:t>陆地表层</w:t>
        <w:br/>
      </w:r>
      <w:r>
        <w:rPr>
          <w:sz w:val="22"/>
        </w:rPr>
        <w:t>地点关键词：</w:t>
      </w:r>
      <w:r>
        <w:rPr>
          <w:sz w:val="22"/>
        </w:rPr>
        <w:t>北半球非热带地区</w:t>
        <w:br/>
      </w:r>
      <w:r>
        <w:rPr>
          <w:sz w:val="22"/>
        </w:rPr>
        <w:t>时间关键词：</w:t>
      </w:r>
      <w:r>
        <w:rPr>
          <w:sz w:val="22"/>
        </w:rPr>
        <w:t>热生长季开始时间</w:t>
      </w:r>
    </w:p>
    <w:p>
      <w:r>
        <w:rPr>
          <w:sz w:val="32"/>
        </w:rPr>
        <w:t>3、数据细节</w:t>
      </w:r>
    </w:p>
    <w:p>
      <w:pPr>
        <w:ind w:left="432"/>
      </w:pPr>
      <w:r>
        <w:rPr>
          <w:sz w:val="22"/>
        </w:rPr>
        <w:t>1.比例尺：None</w:t>
      </w:r>
    </w:p>
    <w:p>
      <w:pPr>
        <w:ind w:left="432"/>
      </w:pPr>
      <w:r>
        <w:rPr>
          <w:sz w:val="22"/>
        </w:rPr>
        <w:t>2.投影：</w:t>
      </w:r>
    </w:p>
    <w:p>
      <w:pPr>
        <w:ind w:left="432"/>
      </w:pPr>
      <w:r>
        <w:rPr>
          <w:sz w:val="22"/>
        </w:rPr>
        <w:t>3.文件大小：23.0MB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1947-12-31 16:00:00+00:00</w:t>
      </w:r>
      <w:r>
        <w:rPr>
          <w:sz w:val="22"/>
        </w:rPr>
        <w:t>--</w:t>
      </w:r>
      <w:r>
        <w:rPr>
          <w:sz w:val="22"/>
        </w:rPr>
        <w:t>2013-12-31 16:00:00+00:00</w:t>
      </w:r>
    </w:p>
    <w:p>
      <w:r>
        <w:rPr>
          <w:sz w:val="32"/>
        </w:rPr>
        <w:t>6、引用方式</w:t>
      </w:r>
    </w:p>
    <w:p>
      <w:pPr>
        <w:ind w:left="432"/>
      </w:pPr>
      <w:r>
        <w:rPr>
          <w:sz w:val="22"/>
        </w:rPr>
        <w:t xml:space="preserve">数据的引用: </w:t>
      </w:r>
    </w:p>
    <w:p>
      <w:pPr>
        <w:ind w:left="432" w:firstLine="432"/>
      </w:pPr>
      <w:r>
        <w:t xml:space="preserve">梁尔源, 高姗. An earlier start of the thermal growing season enhances tree growth in cold humid areas but not in dry areas. 国家青藏高原科学数据中心, DOI:10.11888/Terre.tpdc.271925, CSTR:18406.11.Terre.tpdc.271925, </w:t>
      </w:r>
      <w:r>
        <w:t>2021</w:t>
      </w:r>
      <w:r>
        <w:t>.[</w:t>
      </w:r>
      <w:r>
        <w:t xml:space="preserve">LIANG Eryuan, GAO  Shan. An earlier start of the thermal growing season enhances tree growth in cold humid areas but not in dry areas. National Tibetan Plateau Data Center, DOI:10.11888/Terre.tpdc.271925, CSTR:18406.11.Terre.tpdc.271925,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梁尔源</w:t>
        <w:br/>
      </w:r>
      <w:r>
        <w:rPr>
          <w:sz w:val="22"/>
        </w:rPr>
        <w:t xml:space="preserve">单位: </w:t>
      </w:r>
      <w:r>
        <w:rPr>
          <w:sz w:val="22"/>
        </w:rPr>
        <w:t>中国科学院青藏高原研究所</w:t>
        <w:br/>
      </w:r>
      <w:r>
        <w:rPr>
          <w:sz w:val="22"/>
        </w:rPr>
        <w:t xml:space="preserve">电子邮件: </w:t>
      </w:r>
      <w:r>
        <w:rPr>
          <w:sz w:val="22"/>
        </w:rPr>
        <w:t>liangey@itpcas.ac.cn</w:t>
        <w:br/>
        <w:br/>
      </w:r>
      <w:r>
        <w:rPr>
          <w:sz w:val="22"/>
        </w:rPr>
        <w:t xml:space="preserve">姓名: </w:t>
      </w:r>
      <w:r>
        <w:rPr>
          <w:sz w:val="22"/>
        </w:rPr>
        <w:t>高姗</w:t>
        <w:br/>
      </w:r>
      <w:r>
        <w:rPr>
          <w:sz w:val="22"/>
        </w:rPr>
        <w:t xml:space="preserve">单位: </w:t>
      </w:r>
      <w:r>
        <w:rPr>
          <w:sz w:val="22"/>
        </w:rPr>
        <w:t>中国科学院青藏高原研究所</w:t>
        <w:br/>
      </w:r>
      <w:r>
        <w:rPr>
          <w:sz w:val="22"/>
        </w:rPr>
        <w:t xml:space="preserve">电子邮件: </w:t>
      </w:r>
      <w:r>
        <w:rPr>
          <w:sz w:val="22"/>
        </w:rPr>
        <w:t>gaoshan@itpcas.ac.cn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