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新石器-青铜时代青藏高原遗址调查与动植物资源利用数据集</w:t>
      </w:r>
    </w:p>
    <w:p>
      <w:r>
        <w:rPr>
          <w:sz w:val="22"/>
        </w:rPr>
        <w:t>英文标题：Archaeological site investigation and plant and animal resource utilization in the Tibet Plateau during the Neolithic and Bronze Age</w:t>
      </w:r>
    </w:p>
    <w:p>
      <w:r>
        <w:rPr>
          <w:sz w:val="32"/>
        </w:rPr>
        <w:t>1、摘要</w:t>
      </w:r>
    </w:p>
    <w:p>
      <w:pPr>
        <w:ind w:firstLine="432"/>
      </w:pPr>
      <w:r>
        <w:rPr>
          <w:sz w:val="22"/>
        </w:rPr>
        <w:t>通过对青藏高原高苜蓿地、朵家梁、水口、棋盘山、新寨、参雄尕塑、鸟岛、邦嘎和白羊村等25个新石器-青铜时代遗址进行考古调查和发掘，获取了各遗址经纬度、高程、文化属性、文化遗物等基本信息；同时，对遗址调查和发掘过程中的动植物遗存进行科学收集、鉴定和实验室分析，得到了一批遗址碳十四年代数据、动物遗存鉴定数据、植物大遗存鉴定数据和碳氮稳定同位素数据。该数据集为研究青藏高原新石器-青铜时代先民的活动历史和生业模式提供了数据支撑。</w:t>
      </w:r>
    </w:p>
    <w:p>
      <w:r>
        <w:rPr>
          <w:sz w:val="32"/>
        </w:rPr>
        <w:t>2、关键词</w:t>
      </w:r>
    </w:p>
    <w:p>
      <w:pPr>
        <w:ind w:left="432"/>
      </w:pPr>
      <w:r>
        <w:rPr>
          <w:sz w:val="22"/>
        </w:rPr>
        <w:t>主题关键词：</w:t>
      </w:r>
      <w:r>
        <w:rPr>
          <w:sz w:val="22"/>
        </w:rPr>
        <w:t>生物资源</w:t>
      </w:r>
      <w:r>
        <w:t>,</w:t>
      </w:r>
      <w:r>
        <w:rPr>
          <w:sz w:val="22"/>
        </w:rPr>
        <w:t>哺乳动物</w:t>
      </w:r>
      <w:r>
        <w:t>,</w:t>
      </w:r>
      <w:r>
        <w:rPr>
          <w:sz w:val="22"/>
        </w:rPr>
        <w:t>动物资源</w:t>
      </w:r>
      <w:r>
        <w:t>,</w:t>
      </w:r>
      <w:r>
        <w:rPr>
          <w:sz w:val="22"/>
        </w:rPr>
        <w:t>古气候重建</w:t>
        <w:br/>
      </w:r>
      <w:r>
        <w:rPr>
          <w:sz w:val="22"/>
        </w:rPr>
        <w:t>学科关键词：</w:t>
      </w:r>
      <w:r>
        <w:rPr>
          <w:sz w:val="22"/>
        </w:rPr>
        <w:t>人地关系</w:t>
      </w:r>
      <w:r>
        <w:t>,</w:t>
      </w:r>
      <w:r>
        <w:rPr>
          <w:sz w:val="22"/>
        </w:rPr>
        <w:t>古环境</w:t>
        <w:br/>
      </w:r>
      <w:r>
        <w:rPr>
          <w:sz w:val="22"/>
        </w:rPr>
        <w:t>地点关键词：</w:t>
      </w:r>
      <w:r>
        <w:rPr>
          <w:sz w:val="22"/>
        </w:rPr>
        <w:t>青藏高原</w:t>
        <w:br/>
      </w:r>
      <w:r>
        <w:rPr>
          <w:sz w:val="22"/>
        </w:rPr>
        <w:t>时间关键词：</w:t>
      </w:r>
      <w:r>
        <w:rPr>
          <w:sz w:val="22"/>
        </w:rPr>
        <w:t>新石器-青铜时代</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北：40.37</w:t>
            </w:r>
          </w:p>
        </w:tc>
        <w:tc>
          <w:tcPr>
            <w:tcW w:type="dxa" w:w="2880"/>
          </w:tcPr>
          <w:p>
            <w:r>
              <w:t>-</w:t>
            </w:r>
          </w:p>
        </w:tc>
      </w:tr>
      <w:tr>
        <w:tc>
          <w:tcPr>
            <w:tcW w:type="dxa" w:w="2880"/>
          </w:tcPr>
          <w:p>
            <w:r>
              <w:t>西：91.72</w:t>
            </w:r>
          </w:p>
        </w:tc>
        <w:tc>
          <w:tcPr>
            <w:tcW w:type="dxa" w:w="2880"/>
          </w:tcPr>
          <w:p>
            <w:r>
              <w:t>-</w:t>
            </w:r>
          </w:p>
        </w:tc>
        <w:tc>
          <w:tcPr>
            <w:tcW w:type="dxa" w:w="2880"/>
          </w:tcPr>
          <w:p>
            <w:r>
              <w:t>东：103.32</w:t>
            </w:r>
          </w:p>
        </w:tc>
      </w:tr>
      <w:tr>
        <w:tc>
          <w:tcPr>
            <w:tcW w:type="dxa" w:w="2880"/>
          </w:tcPr>
          <w:p>
            <w:r>
              <w:t>-</w:t>
            </w:r>
          </w:p>
        </w:tc>
        <w:tc>
          <w:tcPr>
            <w:tcW w:type="dxa" w:w="2880"/>
          </w:tcPr>
          <w:p>
            <w:r>
              <w:t>南：25.5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董广辉, 杨晓燕, 吕红亮. 新石器-青铜时代青藏高原遗址调查与动植物资源利用数据集. 国家青藏高原科学数据中心, DOI:10.11888/Paleoenv.tpdc.270113, CSTR:18406.11.Paleoenv.tpdc.270113, </w:t>
      </w:r>
      <w:r>
        <w:t>2018</w:t>
      </w:r>
      <w:r>
        <w:t>.[</w:t>
      </w:r>
      <w:r>
        <w:t xml:space="preserve">YANG Xiaoyan, DONG Guanghui, Lü Hongliang. Archaeological site investigation and plant and animal resource utilization in the Tibet Plateau during the Neolithic and Bronze Age. National Tibetan Plateau Data Center, DOI:10.11888/Paleoenv.tpdc.270113, CSTR:18406.11.Paleoenv.tpdc.270113, </w:t>
      </w:r>
      <w:r>
        <w:t>2018</w:t>
      </w:r>
      <w:r>
        <w:rPr>
          <w:sz w:val="22"/>
        </w:rPr>
        <w:t>]</w:t>
      </w:r>
    </w:p>
    <w:p>
      <w:pPr>
        <w:ind w:left="432"/>
      </w:pPr>
      <w:r>
        <w:rPr>
          <w:sz w:val="22"/>
        </w:rPr>
        <w:t xml:space="preserve">文章的引用: </w:t>
      </w:r>
    </w:p>
    <w:p>
      <w:pPr>
        <w:ind w:left="864"/>
      </w:pPr>
      <w:r>
        <w:t>Dong, G. H., Yang, Y. S., Liu, X. Y., Li, H. M., Cui, Y. F., Wang, H., Chen, G. K., Dodson, J., &amp; Chen, F. H. (2018). Prehistoric trans-continental cultural exchange in the Hexi Corridor, northwest China. The Holocene, 28(4), 621–628.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董广辉</w:t>
        <w:br/>
      </w:r>
      <w:r>
        <w:rPr>
          <w:sz w:val="22"/>
        </w:rPr>
        <w:t xml:space="preserve">单位: </w:t>
      </w:r>
      <w:r>
        <w:rPr>
          <w:sz w:val="22"/>
        </w:rPr>
        <w:t>兰州大学</w:t>
        <w:br/>
      </w:r>
      <w:r>
        <w:rPr>
          <w:sz w:val="22"/>
        </w:rPr>
        <w:t xml:space="preserve">电子邮件: </w:t>
      </w:r>
      <w:r>
        <w:rPr>
          <w:sz w:val="22"/>
        </w:rPr>
        <w:t>ghdong@lzu.edu.cn</w:t>
        <w:br/>
        <w:br/>
      </w:r>
      <w:r>
        <w:rPr>
          <w:sz w:val="22"/>
        </w:rPr>
        <w:t xml:space="preserve">姓名: </w:t>
      </w:r>
      <w:r>
        <w:rPr>
          <w:sz w:val="22"/>
        </w:rPr>
        <w:t>杨晓燕</w:t>
        <w:br/>
      </w:r>
      <w:r>
        <w:rPr>
          <w:sz w:val="22"/>
        </w:rPr>
        <w:t xml:space="preserve">单位: </w:t>
      </w:r>
      <w:r>
        <w:rPr>
          <w:sz w:val="22"/>
        </w:rPr>
        <w:t>中国科学院青藏高原研究所</w:t>
        <w:br/>
      </w:r>
      <w:r>
        <w:rPr>
          <w:sz w:val="22"/>
        </w:rPr>
        <w:t xml:space="preserve">电子邮件: </w:t>
      </w:r>
      <w:r>
        <w:rPr>
          <w:sz w:val="22"/>
        </w:rPr>
        <w:t>yangxy@igsnrr.ac.cn</w:t>
        <w:br/>
        <w:br/>
      </w:r>
      <w:r>
        <w:rPr>
          <w:sz w:val="22"/>
        </w:rPr>
        <w:t xml:space="preserve">姓名: </w:t>
      </w:r>
      <w:r>
        <w:rPr>
          <w:sz w:val="22"/>
        </w:rPr>
        <w:t>吕红亮</w:t>
        <w:br/>
      </w:r>
      <w:r>
        <w:rPr>
          <w:sz w:val="22"/>
        </w:rPr>
        <w:t xml:space="preserve">单位: </w:t>
      </w:r>
      <w:r>
        <w:rPr>
          <w:sz w:val="22"/>
        </w:rPr>
        <w:t>四川大学</w:t>
        <w:br/>
      </w:r>
      <w:r>
        <w:rPr>
          <w:sz w:val="22"/>
        </w:rPr>
        <w:t xml:space="preserve">电子邮件: </w:t>
      </w:r>
      <w:r>
        <w:rPr>
          <w:sz w:val="22"/>
        </w:rPr>
        <w:t>15239810@qq.com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