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青海省冷湖行委天然草地等级面积统计数据（1988，2012）</w:t>
      </w:r>
    </w:p>
    <w:p>
      <w:r>
        <w:rPr>
          <w:sz w:val="22"/>
        </w:rPr>
        <w:t>英文标题：Statistical data of natural grassland grade area of Cold Lake Administrative Committee of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冷湖行委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冷湖行委天然草地等级面积统计数据（2012），冷湖天然草地等级统计数据 ，（1988）。数据表结构相似。例如冷湖行委天然草地等级面积统计数据（2012）表共有9个字段：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  <w:br/>
        <w:t>字段9：8级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天然草地等级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</w:r>
      <w:r>
        <w:t xml:space="preserve">, </w:t>
      </w:r>
      <w:r>
        <w:rPr>
          <w:sz w:val="22"/>
        </w:rPr>
        <w:t>冷湖行委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青海省冷湖行委天然草地等级面积统计数据（1988，2012）.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of Cold Lake Administrative Committee of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