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祁连山地区水体指数产品（2020）</w:t>
      </w:r>
    </w:p>
    <w:p>
      <w:r>
        <w:rPr>
          <w:sz w:val="22"/>
        </w:rPr>
        <w:t>英文标题：Water index in the Qilian Mountain Area in 2020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本数据为祁连山地区2020年地表水体（包括液态水、冰川及多年积雪）分布产品。采用经典归一化水体指数法（Normalized Difference Water Index , NDWI）和人工修正的方法提取。原始基础数据为2020年祁连山全境的Landsat影像。参考数据为谷歌影像和哨兵2号影像。产品以shp文件格式存储，包含坐标系、水体面积等属性。产品为1期，时间分辨率为1年，空间分辨率为30米，边界精度在30米（一个像元）左右。该产品直观地反映了祁连山水体在2020年的大致分布，可用于流域水资源定量估计研究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海洋遥感</w:t>
      </w:r>
      <w:r>
        <w:t>,</w:t>
      </w:r>
      <w:r>
        <w:rPr>
          <w:sz w:val="22"/>
        </w:rPr>
        <w:t>水体指数</w:t>
        <w:br/>
      </w:r>
      <w:r>
        <w:rPr>
          <w:sz w:val="22"/>
        </w:rPr>
        <w:t>学科关键词：</w:t>
      </w:r>
      <w:r>
        <w:rPr>
          <w:sz w:val="22"/>
        </w:rPr>
        <w:t>海洋</w:t>
        <w:br/>
      </w:r>
      <w:r>
        <w:rPr>
          <w:sz w:val="22"/>
        </w:rPr>
        <w:t>地点关键词：</w:t>
      </w:r>
      <w:r>
        <w:rPr>
          <w:sz w:val="22"/>
        </w:rPr>
        <w:t>祁连山地区</w:t>
        <w:br/>
      </w:r>
      <w:r>
        <w:rPr>
          <w:sz w:val="22"/>
        </w:rPr>
        <w:t>时间关键词：</w:t>
      </w:r>
      <w:r>
        <w:rPr>
          <w:sz w:val="22"/>
        </w:rPr>
        <w:t>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3.文件大小：46.0MB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东：107.0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2020-06-30 16:00:00+00:00</w:t>
      </w:r>
      <w:r>
        <w:rPr>
          <w:sz w:val="22"/>
        </w:rPr>
        <w:t>--</w:t>
      </w:r>
      <w:r>
        <w:rPr>
          <w:sz w:val="22"/>
        </w:rPr>
        <w:t>2020-09-29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李佳, 李建江, 李新, 刘绍民. 祁连山地区水体指数产品（2020）. 国家青藏高原科学数据中心, DOI:10.11888/Hydro.tpdc.271536, CSTR:18406.11.Hydro.tpdc.271536, </w:t>
      </w:r>
      <w:r>
        <w:t>2021</w:t>
      </w:r>
      <w:r>
        <w:t>.[</w:t>
      </w:r>
      <w:r>
        <w:t xml:space="preserve">LI   Jia, LI Xin, LIU Shaomin, LI Jianjiang. Water index in the Qilian Mountain Area in 2020. National Tibetan Plateau Data Center, DOI:10.11888/Hydro.tpdc.271536, CSTR:18406.11.Hydro.tpdc.271536,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李佳</w:t>
        <w:br/>
      </w:r>
      <w:r>
        <w:rPr>
          <w:sz w:val="22"/>
        </w:rPr>
        <w:t xml:space="preserve">单位: </w:t>
      </w:r>
      <w:r>
        <w:rPr>
          <w:sz w:val="22"/>
        </w:rPr>
        <w:t>中南大学</w:t>
        <w:br/>
      </w:r>
      <w:r>
        <w:rPr>
          <w:sz w:val="22"/>
        </w:rPr>
        <w:t xml:space="preserve">电子邮件: </w:t>
      </w:r>
      <w:r>
        <w:rPr>
          <w:sz w:val="22"/>
        </w:rPr>
        <w:t>lijia20050710@126.com</w:t>
        <w:br/>
        <w:br/>
      </w:r>
      <w:r>
        <w:rPr>
          <w:sz w:val="22"/>
        </w:rPr>
        <w:t xml:space="preserve">姓名: </w:t>
      </w:r>
      <w:r>
        <w:rPr>
          <w:sz w:val="22"/>
        </w:rPr>
        <w:t>李建江</w:t>
        <w:br/>
      </w:r>
      <w:r>
        <w:rPr>
          <w:sz w:val="22"/>
        </w:rPr>
        <w:t xml:space="preserve">单位: </w:t>
      </w:r>
      <w:r>
        <w:rPr>
          <w:sz w:val="22"/>
        </w:rPr>
        <w:t>中南大学</w:t>
        <w:br/>
      </w:r>
      <w:r>
        <w:rPr>
          <w:sz w:val="22"/>
        </w:rPr>
        <w:t xml:space="preserve">电子邮件: </w:t>
      </w:r>
      <w:r>
        <w:rPr>
          <w:sz w:val="22"/>
        </w:rPr>
        <w:t>ljj1450941816@gmail.com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