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阿姆河流域人工绿洲演变格局图（1990-2018年）</w:t>
      </w:r>
    </w:p>
    <w:p>
      <w:r>
        <w:rPr>
          <w:sz w:val="22"/>
        </w:rPr>
        <w:t>英文标题：Artificial Oases Map of Amu River Basin in 1990, 2000, 2010 and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阿姆河流域人工绿洲格局图包括1990年、2000年、2010年和2015年四期数据，由中国科学院新疆生态与地理研究所遥感与GIS重点实验室生产，数据空间分辨率为30m。数据生产费用由“中国科学院战略性先导科技专项XDA20030101资助”。阿姆河流域人工绿洲格局图是基于1990年、2000年、2010年和2015年TM、ETM遥感影像数据，基于去云、镶嵌与裁剪、拼接、阴影处理等预处理，借助eCognition软件进行面向对象的地类分类，实现软件自动分类和人工信息提取相结合，最后对分类结果进行人工检查与修正。绿洲内土地利用类型分为水域、耕地、建设用地、草地、林地、湿地、灌丛、滩地和未利用地。数据验证方式为野外实地验证和高精度影像验证两种方式，解译精度达到85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中亚西亚地区</w:t>
        <w:br/>
      </w:r>
      <w:r>
        <w:rPr>
          <w:sz w:val="22"/>
        </w:rPr>
        <w:t>时间关键词：</w:t>
      </w:r>
      <w:r>
        <w:rPr>
          <w:sz w:val="22"/>
        </w:rPr>
        <w:t>1990-2018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3.文件大小：870.0MB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1990-01-08 08:00:00+00:00</w:t>
      </w:r>
      <w:r>
        <w:rPr>
          <w:sz w:val="22"/>
        </w:rPr>
        <w:t>--</w:t>
      </w:r>
      <w:r>
        <w:rPr>
          <w:sz w:val="22"/>
        </w:rPr>
        <w:t>2019-01-07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阿姆河流域人工绿洲演变格局图（1990-2018年）. 国家青藏高原科学数据中心, DOI:10.11888/Ecolo.tpdc.270427, CSTR:18406.11.Ecolo.tpdc.270427, </w:t>
      </w:r>
      <w:r>
        <w:t>2020</w:t>
      </w:r>
      <w:r>
        <w:t>.[</w:t>
      </w:r>
      <w:r>
        <w:t xml:space="preserve">XU Wenqiang. Artificial Oases Map of Amu River Basin in 1990, 2000, 2010 and 2015. National Tibetan Plateau Data Center, DOI:10.11888/Ecolo.tpdc.270427, CSTR:18406.11.Ecolo.tpdc.270427,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