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风暴潮灾害危险性空间分布数据集（2018）</w:t>
      </w:r>
    </w:p>
    <w:p>
      <w:r>
        <w:rPr>
          <w:sz w:val="22"/>
        </w:rPr>
        <w:t>英文标题：Storm Surge Hazard spatial distribution data set (2018)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基于全球热带气旋路径数据、全球灾害事件及损失数据、全球潮位观测数据以及34个关键接诶单区域的DEM数据、海岸线分布数据、土地覆盖信息、人口及其他相关数据，以百米网格为评估单元，提取并计算每个单元里与风暴潮灾害危险性相关的指标，如节点潮位历史强度、风暴历史到达频次、历史损失、离岸线的距离等指标。在此基础上，构建风暴潮灾害危险性评估指数，利用加权方法综合上述各指标得到风暴潮危险指数。最后对风暴潮危险指数进行归一化处理，得到0-1之前的危险指数值，以此来评价各评估单元风暴潮危险性的高低，并可用于进行风暴潮危险等级评估。数据集包括“一带一路”沿线34个节点中有风暴潮灾害危险的11个节点的危险性评估结果图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天气灾害</w:t>
      </w:r>
      <w:r>
        <w:t>,</w:t>
      </w:r>
      <w:r>
        <w:rPr>
          <w:sz w:val="22"/>
        </w:rPr>
        <w:t>自然灾害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泛第三极</w:t>
        <w:br/>
      </w:r>
      <w:r>
        <w:rPr>
          <w:sz w:val="22"/>
        </w:rPr>
        <w:t>时间关键词：</w:t>
      </w:r>
      <w:r>
        <w:rPr>
          <w:sz w:val="22"/>
        </w:rPr>
        <w:t>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3.文件大小：4085.0MB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北：82.0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南：-11.0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2018-01-10 00:00:00+00:00</w:t>
      </w:r>
      <w:r>
        <w:rPr>
          <w:sz w:val="22"/>
        </w:rPr>
        <w:t>--</w:t>
      </w:r>
      <w:r>
        <w:rPr>
          <w:sz w:val="22"/>
        </w:rPr>
        <w:t>2019-01-09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葛咏, 李强子, 董文. 风暴潮灾害危险性空间分布数据集（2018）. 国家青藏高原科学数据中心, DOI:10.11888/Disas.tpdc.270414, CSTR:18406.11.Disas.tpdc.270414, </w:t>
      </w:r>
      <w:r>
        <w:t>2020</w:t>
      </w:r>
      <w:r>
        <w:t>.[</w:t>
      </w:r>
      <w:r>
        <w:t xml:space="preserve">GE  Yong, DONG   Wen, LI Qiangzi. Storm Surge Hazard spatial distribution data set (2018). National Tibetan Plateau Data Center, DOI:10.11888/Disas.tpdc.270414, CSTR:18406.11.Disas.tpdc.270414,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葛咏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gey@lreis.ac.cn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李强子</w:t>
        <w:br/>
      </w:r>
      <w:r>
        <w:rPr>
          <w:sz w:val="22"/>
        </w:rPr>
        <w:t xml:space="preserve">单位: </w:t>
      </w:r>
      <w:r>
        <w:rPr>
          <w:sz w:val="22"/>
        </w:rPr>
        <w:t>中科院遥感所</w:t>
        <w:br/>
      </w:r>
      <w:r>
        <w:rPr>
          <w:sz w:val="22"/>
        </w:rPr>
        <w:t xml:space="preserve">电子邮件: </w:t>
      </w:r>
      <w:r>
        <w:rPr>
          <w:sz w:val="22"/>
        </w:rPr>
        <w:t>liqz@radi.ac.cn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董文</w:t>
        <w:br/>
      </w:r>
      <w:r>
        <w:rPr>
          <w:sz w:val="22"/>
        </w:rPr>
        <w:t xml:space="preserve">单位: </w:t>
      </w:r>
      <w:r>
        <w:rPr>
          <w:sz w:val="22"/>
        </w:rPr>
        <w:t>中科院遥感所</w:t>
        <w:br/>
      </w:r>
      <w:r>
        <w:rPr>
          <w:sz w:val="22"/>
        </w:rPr>
        <w:t xml:space="preserve">电子邮件: </w:t>
      </w:r>
      <w:r>
        <w:rPr>
          <w:sz w:val="22"/>
        </w:rPr>
        <w:t>dongwen01@radi.ac.cn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