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新石器时代-青铜时代青藏高原及其周边地区遗址动植物资源利用数据集（2021）</w:t>
      </w:r>
    </w:p>
    <w:p>
      <w:r>
        <w:rPr>
          <w:sz w:val="22"/>
        </w:rPr>
        <w:t>英文标题：Archaeological site plant and animal resource utilization in the Tibet Plateau and neighbouring areas during the Neolithic Age and the Bronze age (2021)</w:t>
      </w:r>
    </w:p>
    <w:p>
      <w:r>
        <w:rPr>
          <w:sz w:val="32"/>
        </w:rPr>
        <w:t>1、摘要</w:t>
      </w:r>
    </w:p>
    <w:p>
      <w:pPr>
        <w:ind w:firstLine="432"/>
      </w:pPr>
      <w:r>
        <w:rPr>
          <w:sz w:val="22"/>
        </w:rPr>
        <w:t>通过对西城驿遗址、金蝉口遗址、山那树扎遗址、江西坟遗址、宗日遗址和邦嘎遗址等进行考古调查和发掘，获取了各遗址经纬度、高程、文化属性、文化遗物等基本信息；并且，对遗址发掘过程中的石制品、动植物遗存以及沉积物样品进行科学收集、鉴定和实验室分析，得到了一批遗址碳十四年代数据、孢粉数据、动物遗存骨骼单元分布鉴定数据、植物遗存鉴定数据以及相关同位素数据；同时，对青藏高原及其周边地区相关动植物遗存及同位素进行了整理。基于自然地理因子和不同时期遗址点，在最低成本的控制下实现节点间累积联结的方法，使用GIS（R语言）工具进行空间数值计算，将其结果作为史前时期（新石器—青铜时期)的交流路线。发现路线的形 态由新石器时期的东北—东部—东南—西南边缘呈月牙形环绕发展至青铜时期的由边缘延伸 至腹地呈网络化发展的趋势，这是由高原边缘的交流逐步演化成边缘—腹地的交流、并不断强化的表现。且通过采集青藏高原东部高寒草甸区共49个放牧家畜粪样品（牦牛粪 样品30个、马粪样品11个、羊粪样品8个），并在区域植被调查的基础上，对粪样品开展了花粉分析。该数据集为研究青藏高原新石器时代-青铜先民的活动历史和生业模式提供了数据支撑。</w:t>
      </w:r>
    </w:p>
    <w:p>
      <w:r>
        <w:rPr>
          <w:sz w:val="32"/>
        </w:rPr>
        <w:t>2、关键词</w:t>
      </w:r>
    </w:p>
    <w:p>
      <w:pPr>
        <w:ind w:left="432"/>
      </w:pPr>
      <w:r>
        <w:rPr>
          <w:sz w:val="22"/>
        </w:rPr>
        <w:t>主题关键词：</w:t>
      </w:r>
      <w:r>
        <w:rPr>
          <w:sz w:val="22"/>
        </w:rPr>
        <w:t>旅游资源</w:t>
      </w:r>
      <w:r>
        <w:t>,</w:t>
      </w:r>
      <w:r>
        <w:rPr>
          <w:sz w:val="22"/>
        </w:rPr>
        <w:t>遗址遗迹</w:t>
        <w:br/>
      </w:r>
      <w:r>
        <w:rPr>
          <w:sz w:val="22"/>
        </w:rPr>
        <w:t>学科关键词：</w:t>
      </w:r>
      <w:r>
        <w:rPr>
          <w:sz w:val="22"/>
        </w:rPr>
        <w:t>人地关系</w:t>
        <w:br/>
      </w:r>
      <w:r>
        <w:rPr>
          <w:sz w:val="22"/>
        </w:rPr>
        <w:t>地点关键词：</w:t>
      </w:r>
      <w:r>
        <w:rPr>
          <w:sz w:val="22"/>
        </w:rPr>
        <w:t>青藏高原</w:t>
        <w:br/>
      </w:r>
      <w:r>
        <w:rPr>
          <w:sz w:val="22"/>
        </w:rPr>
        <w:t>时间关键词：</w:t>
      </w:r>
      <w:r>
        <w:rPr>
          <w:sz w:val="22"/>
        </w:rPr>
        <w:t>新石器-青铜时代</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西：98.5</w:t>
            </w:r>
          </w:p>
        </w:tc>
        <w:tc>
          <w:tcPr>
            <w:tcW w:type="dxa" w:w="2880"/>
          </w:tcPr>
          <w:p>
            <w:r>
              <w:t>-</w:t>
            </w:r>
          </w:p>
        </w:tc>
        <w:tc>
          <w:tcPr>
            <w:tcW w:type="dxa" w:w="2880"/>
          </w:tcPr>
          <w:p>
            <w:r>
              <w:t>东：111.5</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董广辉, 马敏敏, 侯光良, 杨晓燕. 新石器时代-青铜时代青藏高原及其周边地区遗址动植物资源利用数据集（2021）. 国家青藏高原科学数据中心, DOI:10.11888/HumanNat.tpdc.271856, CSTR:18406.11.HumanNat.tpdc.271856, </w:t>
      </w:r>
      <w:r>
        <w:t>2021</w:t>
      </w:r>
      <w:r>
        <w:t>.[</w:t>
      </w:r>
      <w:r>
        <w:t xml:space="preserve">YANG Xiaoyan, MA   M, MA   Minmin, HOU Guangliang, DONG Guanghui. Archaeological site plant and animal resource utilization in the Tibet Plateau and neighbouring areas during the Neolithic Age and the Bronze age (2021). National Tibetan Plateau Data Center, DOI:10.11888/HumanNat.tpdc.271856, CSTR:18406.11.HumanNat.tpdc.271856,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董广辉</w:t>
        <w:br/>
      </w:r>
      <w:r>
        <w:rPr>
          <w:sz w:val="22"/>
        </w:rPr>
        <w:t xml:space="preserve">单位: </w:t>
      </w:r>
      <w:r>
        <w:rPr>
          <w:sz w:val="22"/>
        </w:rPr>
        <w:t>兰州大学</w:t>
        <w:br/>
      </w:r>
      <w:r>
        <w:rPr>
          <w:sz w:val="22"/>
        </w:rPr>
        <w:t xml:space="preserve">电子邮件: </w:t>
      </w:r>
      <w:r>
        <w:rPr>
          <w:sz w:val="22"/>
        </w:rPr>
        <w:t>ghdong@lzu.edu.cn</w:t>
        <w:br/>
        <w:br/>
      </w:r>
      <w:r>
        <w:rPr>
          <w:sz w:val="22"/>
        </w:rPr>
        <w:t xml:space="preserve">姓名: </w:t>
      </w:r>
      <w:r>
        <w:rPr>
          <w:sz w:val="22"/>
        </w:rPr>
        <w:t>马敏敏</w:t>
        <w:br/>
      </w:r>
      <w:r>
        <w:rPr>
          <w:sz w:val="22"/>
        </w:rPr>
        <w:t xml:space="preserve">单位: </w:t>
      </w:r>
      <w:r>
        <w:rPr>
          <w:sz w:val="22"/>
        </w:rPr>
        <w:t>兰州大学</w:t>
        <w:br/>
      </w:r>
      <w:r>
        <w:rPr>
          <w:sz w:val="22"/>
        </w:rPr>
        <w:t xml:space="preserve">电子邮件: </w:t>
      </w:r>
      <w:r>
        <w:rPr>
          <w:sz w:val="22"/>
        </w:rPr>
        <w:t>mamm@lzu.edu.cn</w:t>
        <w:br/>
        <w:br/>
      </w:r>
      <w:r>
        <w:rPr>
          <w:sz w:val="22"/>
        </w:rPr>
        <w:t xml:space="preserve">姓名: </w:t>
      </w:r>
      <w:r>
        <w:rPr>
          <w:sz w:val="22"/>
        </w:rPr>
        <w:t>侯光良</w:t>
        <w:br/>
      </w:r>
      <w:r>
        <w:rPr>
          <w:sz w:val="22"/>
        </w:rPr>
        <w:t xml:space="preserve">单位: </w:t>
      </w:r>
      <w:r>
        <w:rPr>
          <w:sz w:val="22"/>
        </w:rPr>
        <w:t>中国科学院青海盐湖研究所</w:t>
        <w:br/>
      </w:r>
      <w:r>
        <w:rPr>
          <w:sz w:val="22"/>
        </w:rPr>
        <w:t xml:space="preserve">电子邮件: </w:t>
      </w:r>
      <w:r>
        <w:rPr>
          <w:sz w:val="22"/>
        </w:rPr>
        <w:t>hgl20@163.com</w:t>
        <w:br/>
        <w:br/>
      </w:r>
      <w:r>
        <w:rPr>
          <w:sz w:val="22"/>
        </w:rPr>
        <w:t xml:space="preserve">姓名: </w:t>
      </w:r>
      <w:r>
        <w:rPr>
          <w:sz w:val="22"/>
        </w:rPr>
        <w:t>杨晓燕</w:t>
        <w:br/>
      </w:r>
      <w:r>
        <w:rPr>
          <w:sz w:val="22"/>
        </w:rPr>
        <w:t xml:space="preserve">单位: </w:t>
      </w:r>
      <w:r>
        <w:rPr>
          <w:sz w:val="22"/>
        </w:rPr>
        <w:t>中国科学院青藏高原研究所</w:t>
        <w:br/>
      </w:r>
      <w:r>
        <w:rPr>
          <w:sz w:val="22"/>
        </w:rPr>
        <w:t xml:space="preserve">电子邮件: </w:t>
      </w:r>
      <w:r>
        <w:rPr>
          <w:sz w:val="22"/>
        </w:rPr>
        <w:t>yangxy@igsnrr.ac.cn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