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中亚及全球陆地干旱情景数据（2020-2099）</w:t>
      </w:r>
    </w:p>
    <w:p>
      <w:r>
        <w:rPr>
          <w:sz w:val="22"/>
        </w:rPr>
        <w:t>英文标题：Central Asia and global land drought scenario data (2020-2099)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本数据为RCP4.5情景下的月干燥指数数据集（Aridity Index, AI）。AI数据为降水与潜在蒸散发的比值。本数据由14个模式平均计算得到。这14个模式分别为：CanESM2；CCSM4；CNRM-CM5；CSIRO-Mk3-6-0；GISS-E2-R；HadGEM2-CC；HadGEM2-ES；inmcm4；IPSL-CM5A-LR；MIROC5；MIROC-ESM-CHEM；MIROC-ESM；MPI-ESM-LR；MRI-CGCM3。空间分辨率为全球2度*2度，时间分辨率为2020年1月-2099年12月。该数据集即可用于中亚大湖区未来干湿变化情景分析，也可用于全球其他区域在未来情景下的干湿过去和格局的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2020年1月到2099年12月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西：-178.5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东：179.5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南：-88.5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2020-01-08 16:00:00+00:00</w:t>
      </w:r>
      <w:r>
        <w:rPr>
          <w:sz w:val="22"/>
        </w:rPr>
        <w:t>--</w:t>
      </w:r>
      <w:r>
        <w:rPr>
          <w:sz w:val="22"/>
        </w:rPr>
        <w:t>2020-01-08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华丽娟. 中亚及全球陆地干旱情景数据（2020-2099）. 国家青藏高原科学数据中心, </w:t>
      </w:r>
      <w:r>
        <w:t>2019</w:t>
      </w:r>
      <w:r>
        <w:t>.[</w:t>
      </w:r>
      <w:r>
        <w:t xml:space="preserve">HUA Lijuan. Central Asia and global land drought scenario data (2020-2099).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Zhao, T.B., Dai, A.G. (2015). The magnitude and causes of global drought changes in the twenty-first century under a low-moderate emissions scenario. Journal of Climate, 28, 4490-4512.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华丽娟</w:t>
        <w:br/>
      </w:r>
      <w:r>
        <w:rPr>
          <w:sz w:val="22"/>
        </w:rPr>
        <w:t xml:space="preserve">单位: </w:t>
      </w:r>
      <w:r>
        <w:rPr>
          <w:sz w:val="22"/>
        </w:rPr>
        <w:t>中国科学院大学</w:t>
        <w:br/>
      </w:r>
      <w:r>
        <w:rPr>
          <w:sz w:val="22"/>
        </w:rPr>
        <w:t xml:space="preserve">电子邮件: </w:t>
      </w:r>
      <w:r>
        <w:rPr>
          <w:sz w:val="22"/>
        </w:rPr>
        <w:t>hualj@ucas.ac.cn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