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1980年以来青藏高原草地合理载畜量和超载程度</w:t>
      </w:r>
    </w:p>
    <w:p>
      <w:r>
        <w:rPr>
          <w:sz w:val="22"/>
        </w:rPr>
        <w:t>英文标题：Sustainable livestock carring capacity and overgrazing rate of grassland over Qinghai-Tibet plateau since 1980</w:t>
      </w:r>
    </w:p>
    <w:p>
      <w:r>
        <w:rPr>
          <w:sz w:val="32"/>
        </w:rPr>
        <w:t>1、摘要</w:t>
      </w:r>
    </w:p>
    <w:p>
      <w:pPr>
        <w:ind w:firstLine="432"/>
      </w:pPr>
      <w:r>
        <w:rPr>
          <w:sz w:val="22"/>
        </w:rPr>
        <w:t>数据集包含2000年，2010年，2018年青藏高原县级理论载畜量数据和1980年, 1990年, 2000年, 2010年, 2017年县级超载程度。基于地理科学与资源研究所具有自主知识产权的生态水文动力学模型VIP（Vegetation interface process) 模拟的NPP数据计算了产草量数据（1km分辨率），按照县行政区域尺度，计算县域产草量，并根据载畜量计算标准（NY/T 635-2015）计算得到县域范围内的理论载畜量。基于县级实际载畜量数据，计算了超载程度。数据将为草地恢复、管理和利用策略的制定提供借鉴。</w:t>
      </w:r>
    </w:p>
    <w:p>
      <w:r>
        <w:rPr>
          <w:sz w:val="32"/>
        </w:rPr>
        <w:t>2、关键词</w:t>
      </w:r>
    </w:p>
    <w:p>
      <w:pPr>
        <w:ind w:left="432"/>
      </w:pPr>
      <w:r>
        <w:rPr>
          <w:sz w:val="22"/>
        </w:rPr>
        <w:t>主题关键词：</w:t>
      </w:r>
      <w:r>
        <w:rPr>
          <w:sz w:val="22"/>
        </w:rPr>
        <w:t>生物资源</w:t>
      </w:r>
      <w:r>
        <w:t>,</w:t>
      </w:r>
      <w:r>
        <w:rPr>
          <w:sz w:val="22"/>
        </w:rPr>
        <w:t>草地生态系统</w:t>
      </w:r>
      <w:r>
        <w:t>,</w:t>
      </w:r>
      <w:r>
        <w:rPr>
          <w:sz w:val="22"/>
        </w:rPr>
        <w:t>草场</w:t>
      </w:r>
      <w:r>
        <w:t>,</w:t>
      </w:r>
      <w:r>
        <w:rPr>
          <w:sz w:val="22"/>
        </w:rPr>
        <w:t>草地资源</w:t>
      </w:r>
      <w:r>
        <w:t>,</w:t>
      </w:r>
      <w:r>
        <w:rPr>
          <w:sz w:val="22"/>
        </w:rPr>
        <w:t>开发潜力</w:t>
      </w:r>
      <w:r>
        <w:t>,</w:t>
      </w:r>
      <w:r>
        <w:rPr>
          <w:sz w:val="22"/>
        </w:rPr>
        <w:t>植被</w:t>
      </w:r>
      <w:r>
        <w:t>,</w:t>
      </w:r>
      <w:r>
        <w:rPr>
          <w:sz w:val="22"/>
        </w:rPr>
        <w:t>自然保护区</w:t>
      </w:r>
      <w:r>
        <w:t>,</w:t>
      </w:r>
      <w:r>
        <w:rPr>
          <w:sz w:val="22"/>
        </w:rPr>
        <w:t>土地资源</w:t>
      </w:r>
      <w:r>
        <w:t>,</w:t>
      </w:r>
      <w:r>
        <w:rPr>
          <w:sz w:val="22"/>
        </w:rPr>
        <w:t>草地</w:t>
      </w:r>
      <w:r>
        <w:t>,</w:t>
      </w:r>
      <w:r>
        <w:rPr>
          <w:sz w:val="22"/>
        </w:rPr>
        <w:t>放牧</w:t>
      </w:r>
      <w:r>
        <w:t>,</w:t>
      </w:r>
      <w:r>
        <w:rPr>
          <w:sz w:val="22"/>
        </w:rPr>
        <w:t>生物量消耗</w:t>
      </w:r>
      <w:r>
        <w:t>,</w:t>
      </w:r>
      <w:r>
        <w:rPr>
          <w:sz w:val="22"/>
        </w:rPr>
        <w:t>生态退化及保护</w:t>
      </w:r>
      <w:r>
        <w:t>,</w:t>
      </w:r>
      <w:r>
        <w:rPr>
          <w:sz w:val="22"/>
        </w:rPr>
        <w:t>退耕还林（草）</w:t>
      </w:r>
      <w:r>
        <w:t>,</w:t>
      </w:r>
      <w:r>
        <w:rPr>
          <w:sz w:val="22"/>
        </w:rPr>
        <w:t>草地</w:t>
      </w:r>
      <w:r>
        <w:t>,</w:t>
      </w:r>
      <w:r>
        <w:rPr>
          <w:sz w:val="22"/>
        </w:rPr>
        <w:t>环境污染与治理</w:t>
        <w:br/>
      </w:r>
      <w:r>
        <w:rPr>
          <w:sz w:val="22"/>
        </w:rPr>
        <w:t>学科关键词：</w:t>
      </w:r>
      <w:r>
        <w:rPr>
          <w:sz w:val="22"/>
        </w:rPr>
        <w:t>陆地表层</w:t>
      </w:r>
      <w:r>
        <w:t>,</w:t>
      </w:r>
      <w:r>
        <w:rPr>
          <w:sz w:val="22"/>
        </w:rPr>
        <w:t>人地关系</w:t>
        <w:br/>
      </w:r>
      <w:r>
        <w:rPr>
          <w:sz w:val="22"/>
        </w:rPr>
        <w:t>地点关键词：</w:t>
      </w:r>
      <w:r>
        <w:rPr>
          <w:sz w:val="22"/>
        </w:rPr>
        <w:t>中国西部地区</w:t>
      </w:r>
      <w:r>
        <w:t xml:space="preserve">, </w:t>
      </w:r>
      <w:r>
        <w:rPr>
          <w:sz w:val="22"/>
        </w:rPr>
        <w:t>高寒草原</w:t>
      </w:r>
      <w:r>
        <w:t xml:space="preserve">, </w:t>
      </w:r>
      <w:r>
        <w:rPr>
          <w:sz w:val="22"/>
        </w:rPr>
        <w:t>青藏高原</w:t>
      </w:r>
      <w:r>
        <w:t xml:space="preserve">, </w:t>
      </w:r>
      <w:r>
        <w:rPr>
          <w:sz w:val="22"/>
        </w:rPr>
        <w:t>中国高寒山区</w:t>
        <w:br/>
      </w:r>
      <w:r>
        <w:rPr>
          <w:sz w:val="22"/>
        </w:rPr>
        <w:t>时间关键词：</w:t>
      </w:r>
      <w:r>
        <w:rPr>
          <w:sz w:val="22"/>
        </w:rPr>
        <w:t>2000-2018</w:t>
      </w:r>
      <w:r>
        <w:t xml:space="preserve">, </w:t>
      </w:r>
      <w:r>
        <w:rPr>
          <w:sz w:val="22"/>
        </w:rPr>
        <w:t>1980-2018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西：73.32</w:t>
            </w:r>
          </w:p>
        </w:tc>
        <w:tc>
          <w:tcPr>
            <w:tcW w:type="dxa" w:w="2880"/>
          </w:tcPr>
          <w:p>
            <w:r>
              <w:t>-</w:t>
            </w:r>
          </w:p>
        </w:tc>
        <w:tc>
          <w:tcPr>
            <w:tcW w:type="dxa" w:w="2880"/>
          </w:tcPr>
          <w:p>
            <w:r>
              <w:t>东：104.78</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1982-01-17 16:00:00+00:00</w:t>
      </w:r>
      <w:r>
        <w:rPr>
          <w:sz w:val="22"/>
        </w:rPr>
        <w:t>--</w:t>
      </w:r>
      <w:r>
        <w:rPr>
          <w:sz w:val="22"/>
        </w:rPr>
        <w:t>2019-01-16 16:00:00+00:00</w:t>
      </w:r>
    </w:p>
    <w:p>
      <w:r>
        <w:rPr>
          <w:sz w:val="32"/>
        </w:rPr>
        <w:t>6、引用方式</w:t>
      </w:r>
    </w:p>
    <w:p>
      <w:pPr>
        <w:ind w:left="432"/>
      </w:pPr>
      <w:r>
        <w:rPr>
          <w:sz w:val="22"/>
        </w:rPr>
        <w:t xml:space="preserve">数据的引用: </w:t>
      </w:r>
    </w:p>
    <w:p>
      <w:pPr>
        <w:ind w:left="432" w:firstLine="432"/>
      </w:pPr>
      <w:r>
        <w:t xml:space="preserve">莫兴国. 1980年以来青藏高原草地合理载畜量和超载程度. 国家青藏高原科学数据中心, DOI:10.11888/Socioeco.tpdc.270347, CSTR:18406.11.Socioeco.tpdc.270347, </w:t>
      </w:r>
      <w:r>
        <w:t>2020</w:t>
      </w:r>
      <w:r>
        <w:t>.[</w:t>
      </w:r>
      <w:r>
        <w:t xml:space="preserve">MO Xingguo. Sustainable livestock carring capacity and overgrazing rate of grassland over Qinghai-Tibet plateau since 1980. National Tibetan Plateau Data Center, DOI:10.11888/Socioeco.tpdc.270347, CSTR:18406.11.Socioeco.tpdc.270347,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莫兴国</w:t>
        <w:br/>
      </w:r>
      <w:r>
        <w:rPr>
          <w:sz w:val="22"/>
        </w:rPr>
        <w:t xml:space="preserve">单位: </w:t>
      </w:r>
      <w:r>
        <w:rPr>
          <w:sz w:val="22"/>
        </w:rPr>
        <w:t>中国科学院地理科学与资源研究所</w:t>
        <w:br/>
      </w:r>
      <w:r>
        <w:rPr>
          <w:sz w:val="22"/>
        </w:rPr>
        <w:t xml:space="preserve">电子邮件: </w:t>
      </w:r>
      <w:r>
        <w:rPr>
          <w:sz w:val="22"/>
        </w:rPr>
        <w:t>moxg@igsnrr.ac.cn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