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玛纳斯河流域水资源、农业、生态系统脆弱性预测情景数据集（V1.0）（2010-2050）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the water resources, agriculture, and ecosystem of the Manasi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</w:t>
        <w:br/>
        <w:t xml:space="preserve">    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玛纳斯河流域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04:02:00+00:00</w:t>
      </w:r>
      <w:r>
        <w:rPr>
          <w:sz w:val="22"/>
        </w:rPr>
        <w:t>--</w:t>
      </w:r>
      <w:r>
        <w:rPr>
          <w:sz w:val="22"/>
        </w:rPr>
        <w:t>2051-01-09 04:02:00+00:00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玛纳斯河流域水资源、农业、生态系统脆弱性预测情景数据集（V1.0）（2010-2050）. 国家青藏高原科学数据中心, DOI:10.11888/Socio-econ.tpe.0000004.file, CSTR:18406.11.Socio-econ.tpe.0000004.file,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Manasi River Basin (Version 1.0) (2010-2050). National Tibetan Plateau Data Center, DOI:10.11888/Socio-econ.tpe.0000004.file, CSTR:18406.11.Socio-econ.tpe.0000004.file,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