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青海省优抚、城镇、农村低保和社会救济情况（2000-2010）</w:t>
      </w:r>
    </w:p>
    <w:p>
      <w:r>
        <w:rPr>
          <w:sz w:val="22"/>
        </w:rPr>
        <w:t>英文标题：Preferential care, urban and rural subsistence allowances and social relief in Qinghai Province (2000-2010)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2000年-2010年青海省优抚、城镇、农村低保和社会救济情况，数据是按年份进行划分的。数据整理自青海省统计局发布的青海省统计年鉴。数据集包含10个数据表，各数据表结构相同。例如2006-2008年的数据表共有4个字段：</w:t>
        <w:br/>
        <w:t>字段1：项目</w:t>
        <w:br/>
        <w:t>字段2：2006</w:t>
        <w:br/>
        <w:t>字段3：2007</w:t>
        <w:br/>
        <w:t>字段4：2008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社会救济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农村低保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青海省优抚、城镇、农村低保和社会救济情况（2000-2010）. 国家青藏高原科学数据中心, </w:t>
      </w:r>
      <w:r>
        <w:t>2021</w:t>
      </w:r>
      <w:r>
        <w:t>.[</w:t>
      </w:r>
      <w:r>
        <w:t xml:space="preserve">Qinghai Provincial Bureau of Statistics. Preferential care, urban and rural subsistence allowances and social relief in Qinghai Province (2000-2010).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