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青海省各地区按行业分全部单位就业人员劳动报酬（2009-2010）</w:t>
      </w:r>
    </w:p>
    <w:p>
      <w:r>
        <w:rPr>
          <w:sz w:val="22"/>
        </w:rPr>
        <w:t>英文标题：Labor remuneration of employees in all units by industry in Qinghai Province (2009-2010)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2009-2010年青海省各地区按行业分全部单位就业人员劳动报酬的统计数据，数据是按西宁市、海东地区、海北州、黄南州、海南州、果洛州、玉树州、海西州来划分的。数据整理自青海省统计局发布的青海省统计年鉴。数据集包含2个数据表，各数据表结构相同。例如2010年的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工资收入及分配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青海省各地区按行业分全部单位就业人员劳动报酬（2009-2010）. 国家青藏高原科学数据中心, </w:t>
      </w:r>
      <w:r>
        <w:t>2021</w:t>
      </w:r>
      <w:r>
        <w:t>.[</w:t>
      </w:r>
      <w:r>
        <w:t xml:space="preserve">Qinghai Provincial Bureau of Statistics. Labor remuneration of employees in all units by industry in Qinghai Province (2009-2010).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