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仰光深水港地区交通、水系、农田、建成区等要素空间分布数据集（2019）</w:t>
      </w:r>
    </w:p>
    <w:p>
      <w:r>
        <w:rPr>
          <w:sz w:val="22"/>
        </w:rPr>
        <w:t>英文标题：Spatial distribution data set of transportation, water system, farmland and built up area in Yangon deepwater port area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括了仰光深水港中心城区的道路情况，水系情况，以及土地利用情况。道路数据集同时包括公路和铁路，水系数据集包括河流和湖泊。道路数据集和水系数据集为矢量数据，土地利用数据集为10m分辨率的栅格数据。土地利用的分类体系为：10.Forest森林；20.Cultivated Land 耕地；21.Paddy filed 水田；22.Dry farmland 旱地；30.Water 水体；31.River 河流；32.Lake 湖泊（含水库、坑塘）；33.wetland 沼泽湿地；40.Artificial surface 人工表面；43. Mining area 采矿区；50.Bareland 裸土、裸岩、荒漠等，基于有限样本对数据进行精度分析，分类精度约在90%以上。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</w:r>
      <w:r>
        <w:t>,</w:t>
      </w:r>
      <w:r>
        <w:rPr>
          <w:sz w:val="22"/>
        </w:rPr>
        <w:t>交通</w:t>
      </w:r>
      <w:r>
        <w:t>,</w:t>
      </w:r>
      <w:r>
        <w:rPr>
          <w:sz w:val="22"/>
        </w:rPr>
        <w:t>铁路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土地利用类型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缅甸皎漂港、仰光、吉布提、曼德勒、汉班托塔港、科伦坡港、泰中罗勇工业区、曼谷</w:t>
        <w:br/>
      </w:r>
      <w:r>
        <w:rPr>
          <w:sz w:val="22"/>
        </w:rPr>
        <w:t>时间关键词：</w:t>
      </w:r>
      <w:r>
        <w:rPr>
          <w:sz w:val="22"/>
        </w:rPr>
        <w:t>2019-2020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3.文件大小：13.5MB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北：17.1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东：96.4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南：16.5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李强子, 李毅. 仰光深水港地区交通、水系、农田、建成区等要素空间分布数据集（2019）. 国家青藏高原科学数据中心, DOI:10.11888/Geogra.tpdc.271052, CSTR:18406.11.Geogra.tpdc.271052, </w:t>
      </w:r>
      <w:r>
        <w:t>2020</w:t>
      </w:r>
      <w:r>
        <w:t>.[</w:t>
      </w:r>
      <w:r>
        <w:t xml:space="preserve">GE  Yong, LI Qiangzi, LI  Yi. Spatial distribution data set of transportation, water system, farmland and built up area in Yangon deepwater port area (2019). National Tibetan Plateau Data Center, DOI:10.11888/Geogra.tpdc.271052, CSTR:18406.11.Geogra.tpdc.271052,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李强子</w:t>
        <w:br/>
      </w:r>
      <w:r>
        <w:rPr>
          <w:sz w:val="22"/>
        </w:rPr>
        <w:t xml:space="preserve">单位: </w:t>
      </w:r>
      <w:r>
        <w:rPr>
          <w:sz w:val="22"/>
        </w:rPr>
        <w:t>中科院遥感所</w:t>
        <w:br/>
      </w:r>
      <w:r>
        <w:rPr>
          <w:sz w:val="22"/>
        </w:rPr>
        <w:t xml:space="preserve">电子邮件: </w:t>
      </w:r>
      <w:r>
        <w:rPr>
          <w:sz w:val="22"/>
        </w:rPr>
        <w:t>liqz@radi.ac.cn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李毅</w:t>
        <w:br/>
      </w:r>
      <w:r>
        <w:rPr>
          <w:sz w:val="22"/>
        </w:rPr>
        <w:t xml:space="preserve">单位: </w:t>
      </w:r>
      <w:r>
        <w:rPr>
          <w:sz w:val="22"/>
        </w:rPr>
        <w:t>中科院遥感所</w:t>
        <w:br/>
      </w:r>
      <w:r>
        <w:rPr>
          <w:sz w:val="22"/>
        </w:rPr>
        <w:t xml:space="preserve">电子邮件: </w:t>
      </w:r>
      <w:r>
        <w:rPr>
          <w:sz w:val="22"/>
        </w:rPr>
        <w:t>liyi@radi.ac.cn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