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全球月平均地表温度（2000-2020）</w:t>
      </w:r>
    </w:p>
    <w:p>
      <w:r>
        <w:rPr>
          <w:sz w:val="22"/>
        </w:rPr>
        <w:t>英文标题：Global monthly all-sky land surface temperature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本数据采用Chen et al. 2017 JHM研究的方法，利用MYD11C3.00６和MＯD11C3.006两种产品计算得到全天空的地表温度结果，具体计算程序见本数据集的Global_monthly_LST.m。数据格式为*.mat, Global_monthly_LST.m程序给出了实例如何读取该数据。该数据空间分辨率为0.05度，网格中心的经纬度信息分别保存在latitude.mat和Lonitud.mat，由于内陆湖泊、水体的发射率反演的问题，本数据将所有内陆湖泊和水体的地表温度给了NaN值，具体采用的mask见mask.mat文件。经过与全球156个站点观测的LST的验证，总体RMSE为2.69k,mean bias为0.4K，在干旱和半干旱地区的RMSE为2.62K, mean bias为0.94.K.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全天候</w:t>
      </w:r>
      <w:r>
        <w:t>,</w:t>
      </w:r>
      <w:r>
        <w:rPr>
          <w:sz w:val="22"/>
        </w:rPr>
        <w:t>热红外</w:t>
      </w:r>
      <w:r>
        <w:t>,</w:t>
      </w:r>
      <w:r>
        <w:rPr>
          <w:sz w:val="22"/>
        </w:rPr>
        <w:t>MODIS</w:t>
      </w:r>
      <w:r>
        <w:t>,</w:t>
      </w:r>
      <w:r>
        <w:rPr>
          <w:sz w:val="22"/>
        </w:rPr>
        <w:t>大气遥感</w:t>
      </w:r>
      <w:r>
        <w:t>,</w:t>
      </w:r>
      <w:r>
        <w:rPr>
          <w:sz w:val="22"/>
        </w:rPr>
        <w:t>地表温度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全球陆表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2020-11-29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陈学龙, Bob Su, 马耀明. 全球月平均地表温度（2000-2020）. 国家青藏高原科学数据中心, DOI:10.11888/Meteoro.tpdc.271180, CSTR:18406.11.Meteoro.tpdc.271180, </w:t>
      </w:r>
      <w:r>
        <w:t>2021</w:t>
      </w:r>
      <w:r>
        <w:t>.[</w:t>
      </w:r>
      <w:r>
        <w:t xml:space="preserve">MA  Yaoming, CHEN Xuelong, BOB  Su. Global monthly all-sky land surface temperature (2000-2020). National Tibetan Plateau Data Center, DOI:10.11888/Meteoro.tpdc.271180, CSTR:18406.11.Meteoro.tpdc.271180,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X.*, Su, Z., Ma, Y., Liu, S., Yu, Q., and Xu, Z. (2014). Development of a 10 year (2001–2010) 0.1° dataset of land-surface energy balance for mainland China, Atmos. Chem. Phys., 14, 13097–13117, doi:10.5194/acp-14-13097-2014.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陈学龙</w:t>
        <w:br/>
      </w:r>
      <w:r>
        <w:rPr>
          <w:sz w:val="22"/>
        </w:rPr>
        <w:t xml:space="preserve">单位: </w:t>
      </w:r>
      <w:r>
        <w:rPr>
          <w:sz w:val="22"/>
        </w:rPr>
        <w:t>Institute of Tibetan Plateau Research,Chinese Academy of Sciences</w:t>
        <w:br/>
      </w:r>
      <w:r>
        <w:rPr>
          <w:sz w:val="22"/>
        </w:rPr>
        <w:t xml:space="preserve">电子邮件: </w:t>
      </w:r>
      <w:r>
        <w:rPr>
          <w:sz w:val="22"/>
        </w:rPr>
        <w:t>x.chen@itpcas.ac.cn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Bob Su</w:t>
        <w:br/>
      </w:r>
      <w:r>
        <w:rPr>
          <w:sz w:val="22"/>
        </w:rPr>
        <w:t xml:space="preserve">单位: </w:t>
      </w:r>
      <w:r>
        <w:rPr>
          <w:sz w:val="22"/>
        </w:rPr>
        <w:t>University of Twente</w:t>
        <w:br/>
      </w:r>
      <w:r>
        <w:rPr>
          <w:sz w:val="22"/>
        </w:rPr>
        <w:t xml:space="preserve">电子邮件: </w:t>
      </w:r>
      <w:r>
        <w:rPr>
          <w:sz w:val="22"/>
        </w:rPr>
        <w:t>z.su@utwente.nl</w:t>
        <w:br/>
        <w:br/>
      </w:r>
      <w:r>
        <w:rPr>
          <w:sz w:val="22"/>
        </w:rPr>
        <w:t xml:space="preserve">姓名: </w:t>
      </w:r>
      <w:r>
        <w:rPr>
          <w:sz w:val="22"/>
        </w:rPr>
        <w:t>马耀明</w:t>
        <w:br/>
      </w:r>
      <w:r>
        <w:rPr>
          <w:sz w:val="22"/>
        </w:rPr>
        <w:t xml:space="preserve">单位: </w:t>
      </w:r>
      <w:r>
        <w:rPr>
          <w:sz w:val="22"/>
        </w:rPr>
        <w:t>中科院青藏所</w:t>
        <w:br/>
      </w:r>
      <w:r>
        <w:rPr>
          <w:sz w:val="22"/>
        </w:rPr>
        <w:t xml:space="preserve">电子邮件: </w:t>
      </w:r>
      <w:r>
        <w:rPr>
          <w:sz w:val="22"/>
        </w:rPr>
        <w:t>ymma@itpcas.ac.cn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