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新疆博斯腾湖全新世湖泊水动力变化</w:t>
      </w:r>
    </w:p>
    <w:p>
      <w:r>
        <w:rPr>
          <w:sz w:val="22"/>
        </w:rPr>
        <w:t>英文标题：Holocene Lake hydrodynamic changes in Bosten Lake,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粒度分解的方法对新疆博斯腾湖全新世钻孔BST04H岩芯沉积物样品粒度数据进行分析，得到对湖泊水动力变化敏感的湖相悬移粉砂组分。通过结合现代过程的研究发现，该湖相悬移粉砂组分粒径变化可以指示湖泊水动力变化，该组分粒径越大，指示当时湖泊水动力越强，即入流、外流水量越大，湖泊水位越高，反之亦然。该数据可以用来指示博斯腾湖全新世以来湖泊水动力的演化过程，为研究该区域的气候、水文水资源变化提供理论支持。该方法仅适用于流域开放、且沉积稳定的湖泊沉积物分析，当沉积相发生较大变化时不宜使用该方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钻孔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博斯腾湖</w:t>
      </w:r>
      <w:r>
        <w:t xml:space="preserve">, </w:t>
      </w:r>
      <w:r>
        <w:rPr>
          <w:sz w:val="22"/>
        </w:rPr>
        <w:t>楼兰文明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西：41.93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东：42.23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南：87.43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谢海超. 新疆博斯腾湖全新世湖泊水动力变化. 国家青藏高原科学数据中心, DOI:10.11888/Paleoenv.tpdc.271108, CSTR:18406.11.Paleoenv.tpdc.271108, </w:t>
      </w:r>
      <w:r>
        <w:t>2021</w:t>
      </w:r>
      <w:r>
        <w:t>.[</w:t>
      </w:r>
      <w:r>
        <w:t xml:space="preserve">XIE Haichao. Holocene Lake hydrodynamic changes in Bosten Lake, Xinjiang. National Tibetan Plateau Data Center, DOI:10.11888/Paleoenv.tpdc.271108, CSTR:18406.11.Paleoenv.tpdc.271108,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H., Liang, J., Vachula, R.S., Russell, J.M., Chen, S., Guo, M., Wang, X., Huang, X., &amp; Chen, F. (2021). Changes in the hydrodynamic intensity of Bosten Lake and its impact on early human settlement in the northeastern Tarim Basin, Arid Central Asia. Palaeogeography, Palaeoclimatology, Palaeoecology, 576, 110499.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谢海超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hcxie@itpcas.ac.cn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