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黑河生态水文遥感试验：水文气象观测网数据集（大满超级站气象要素梯度观测系统-2014）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非土壤部分数据（风速、风向、空气温湿度、气压、降水量、四分量辐射、地表辐射温度、光合有效辐射）由于数据采集器的原因，在2014.6.20-6.27之间数据缺失；3m风速和风向在2014.1.17-1.21和2014.2.10-3.2之间由于传感器的问题，数据缺失；5m风速和风向在2014.2.10-3.2之间由于传感器的问题，数据缺失；土壤温度在2014.6.10-6.12之间由于数据采集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3.文件大小：42.57MB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2014-01-15 16:00:00+00:00</w:t>
      </w:r>
      <w:r>
        <w:rPr>
          <w:sz w:val="22"/>
        </w:rPr>
        <w:t>--</w:t>
      </w:r>
      <w:r>
        <w:rPr>
          <w:sz w:val="22"/>
        </w:rPr>
        <w:t>2015-01-14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黑河生态水文遥感试验：水文气象观测网数据集（大满超级站气象要素梯度观测系统-2014）. 国家青藏高原科学数据中心, DOI:10.3972/hiwater.258.2015.db, CSTR:18406.11.hiwater.258.2015.db,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2014). National Tibetan Plateau Data Center, DOI:10.3972/hiwater.258.2015.db, CSTR:18406.11.hiwater.258.2015.db,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